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583A63" w:rsidRDefault="006544C4" w:rsidP="00583A63">
      <w:pPr>
        <w:jc w:val="center"/>
        <w:rPr>
          <w:lang w:val="fr-FR"/>
        </w:rPr>
      </w:pPr>
      <w:bookmarkStart w:id="0" w:name="_GoBack"/>
      <w:bookmarkEnd w:id="0"/>
    </w:p>
    <w:p w:rsidR="006544C4" w:rsidRPr="00583A63" w:rsidRDefault="006544C4" w:rsidP="00583A63">
      <w:pPr>
        <w:jc w:val="center"/>
        <w:rPr>
          <w:lang w:val="fr-FR"/>
        </w:rPr>
      </w:pPr>
    </w:p>
    <w:p w:rsidR="006544C4" w:rsidRPr="00583A63" w:rsidRDefault="00546EB7" w:rsidP="00583A63">
      <w:pPr>
        <w:pStyle w:val="DecHTitle"/>
        <w:rPr>
          <w:lang w:val="fr-FR"/>
        </w:rPr>
      </w:pPr>
      <w:r w:rsidRPr="00583A63">
        <w:rPr>
          <w:szCs w:val="24"/>
          <w:lang w:val="fr-FR"/>
        </w:rPr>
        <w:t>QUATRIÈME SECTION</w:t>
      </w:r>
    </w:p>
    <w:p w:rsidR="006544C4" w:rsidRPr="00583A63" w:rsidRDefault="006544C4" w:rsidP="00583A63">
      <w:pPr>
        <w:pStyle w:val="DecHTitle"/>
        <w:rPr>
          <w:caps/>
          <w:sz w:val="32"/>
          <w:lang w:val="fr-FR"/>
        </w:rPr>
      </w:pPr>
      <w:r w:rsidRPr="00583A63">
        <w:rPr>
          <w:lang w:val="fr-FR"/>
        </w:rPr>
        <w:t>DÉCISION</w:t>
      </w:r>
    </w:p>
    <w:p w:rsidR="006544C4" w:rsidRPr="00583A63" w:rsidRDefault="00546EB7" w:rsidP="00583A63">
      <w:pPr>
        <w:pStyle w:val="ECHRTitleCentre2"/>
        <w:rPr>
          <w:lang w:val="fr-FR"/>
        </w:rPr>
      </w:pPr>
      <w:r w:rsidRPr="00583A63">
        <w:rPr>
          <w:lang w:val="fr-FR"/>
        </w:rPr>
        <w:t>Requête n</w:t>
      </w:r>
      <w:r w:rsidRPr="00583A63">
        <w:rPr>
          <w:vertAlign w:val="superscript"/>
          <w:lang w:val="fr-FR"/>
        </w:rPr>
        <w:t>o</w:t>
      </w:r>
      <w:r w:rsidR="006544C4" w:rsidRPr="00583A63">
        <w:rPr>
          <w:lang w:val="fr-FR"/>
        </w:rPr>
        <w:t xml:space="preserve"> </w:t>
      </w:r>
      <w:r w:rsidRPr="00583A63">
        <w:rPr>
          <w:lang w:val="fr-FR"/>
        </w:rPr>
        <w:t>41984/04</w:t>
      </w:r>
      <w:r w:rsidR="006544C4" w:rsidRPr="00583A63">
        <w:rPr>
          <w:lang w:val="fr-FR"/>
        </w:rPr>
        <w:br/>
      </w:r>
      <w:r w:rsidR="00AA3CE1" w:rsidRPr="00583A63">
        <w:rPr>
          <w:lang w:val="fr-FR"/>
        </w:rPr>
        <w:t>VIRGILIO</w:t>
      </w:r>
      <w:r w:rsidRPr="00583A63">
        <w:rPr>
          <w:lang w:val="fr-FR"/>
        </w:rPr>
        <w:t xml:space="preserve"> S.P.A.</w:t>
      </w:r>
      <w:r w:rsidRPr="00583A63">
        <w:rPr>
          <w:lang w:val="fr-FR"/>
        </w:rPr>
        <w:br/>
      </w:r>
      <w:r w:rsidR="006544C4" w:rsidRPr="00583A63">
        <w:rPr>
          <w:lang w:val="fr-FR"/>
        </w:rPr>
        <w:t xml:space="preserve">contre </w:t>
      </w:r>
      <w:r w:rsidRPr="00583A63">
        <w:rPr>
          <w:lang w:val="fr-FR"/>
        </w:rPr>
        <w:t>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Italie</w:t>
      </w:r>
    </w:p>
    <w:p w:rsidR="00546EB7" w:rsidRPr="00583A63" w:rsidRDefault="00546EB7" w:rsidP="00583A63">
      <w:pPr>
        <w:pStyle w:val="ECHRPara"/>
        <w:rPr>
          <w:lang w:val="fr-FR"/>
        </w:rPr>
      </w:pPr>
      <w:r w:rsidRPr="00583A63">
        <w:rPr>
          <w:lang w:val="fr-FR"/>
        </w:rPr>
        <w:t>La Cour européenne des droits de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 xml:space="preserve">homme (quatrième section), siégeant le </w:t>
      </w:r>
      <w:r w:rsidR="00270F59" w:rsidRPr="00583A63">
        <w:rPr>
          <w:lang w:val="fr-FR"/>
        </w:rPr>
        <w:t>20 octobre 2015</w:t>
      </w:r>
      <w:r w:rsidRPr="00583A63">
        <w:rPr>
          <w:lang w:val="fr-FR"/>
        </w:rPr>
        <w:t xml:space="preserve"> en une chambre composée de :</w:t>
      </w:r>
    </w:p>
    <w:p w:rsidR="00546EB7" w:rsidRPr="00583A63" w:rsidRDefault="002039EF" w:rsidP="00583A63">
      <w:pPr>
        <w:pStyle w:val="ECHRDecisionBody"/>
        <w:rPr>
          <w:lang w:val="fr-FR"/>
        </w:rPr>
      </w:pPr>
      <w:r w:rsidRPr="00583A63">
        <w:rPr>
          <w:lang w:val="fr-FR"/>
        </w:rPr>
        <w:tab/>
        <w:t>Päivi Hirvelä,</w:t>
      </w:r>
      <w:r w:rsidRPr="00583A63">
        <w:rPr>
          <w:i/>
          <w:lang w:val="fr-FR"/>
        </w:rPr>
        <w:t xml:space="preserve"> présidente,</w:t>
      </w:r>
      <w:r w:rsidRPr="00583A63">
        <w:rPr>
          <w:i/>
          <w:lang w:val="fr-FR"/>
        </w:rPr>
        <w:br/>
      </w:r>
      <w:r w:rsidRPr="00583A63">
        <w:rPr>
          <w:lang w:val="fr-FR"/>
        </w:rPr>
        <w:tab/>
        <w:t>Guido Raimondi,</w:t>
      </w:r>
      <w:r w:rsidRPr="00583A63">
        <w:rPr>
          <w:i/>
          <w:lang w:val="fr-FR"/>
        </w:rPr>
        <w:br/>
      </w:r>
      <w:r w:rsidRPr="00583A63">
        <w:rPr>
          <w:lang w:val="fr-FR"/>
        </w:rPr>
        <w:tab/>
        <w:t>Ledi Bianku,</w:t>
      </w:r>
      <w:r w:rsidRPr="00583A63">
        <w:rPr>
          <w:i/>
          <w:lang w:val="fr-FR"/>
        </w:rPr>
        <w:br/>
      </w:r>
      <w:r w:rsidRPr="00583A63">
        <w:rPr>
          <w:lang w:val="fr-FR"/>
        </w:rPr>
        <w:tab/>
        <w:t>Nona Tsotsoria,</w:t>
      </w:r>
      <w:r w:rsidRPr="00583A63">
        <w:rPr>
          <w:i/>
          <w:lang w:val="fr-FR"/>
        </w:rPr>
        <w:br/>
      </w:r>
      <w:r w:rsidRPr="00583A63">
        <w:rPr>
          <w:lang w:val="fr-FR"/>
        </w:rPr>
        <w:tab/>
        <w:t>Paul Mahoney,</w:t>
      </w:r>
      <w:r w:rsidRPr="00583A63">
        <w:rPr>
          <w:i/>
          <w:lang w:val="fr-FR"/>
        </w:rPr>
        <w:br/>
      </w:r>
      <w:r w:rsidRPr="00583A63">
        <w:rPr>
          <w:lang w:val="fr-FR"/>
        </w:rPr>
        <w:tab/>
        <w:t>Krzysztof Wojtyczek,</w:t>
      </w:r>
      <w:r w:rsidRPr="00583A63">
        <w:rPr>
          <w:i/>
          <w:lang w:val="fr-FR"/>
        </w:rPr>
        <w:br/>
      </w:r>
      <w:r w:rsidRPr="00583A63">
        <w:rPr>
          <w:lang w:val="fr-FR"/>
        </w:rPr>
        <w:tab/>
        <w:t>Faris Vehabović,</w:t>
      </w:r>
      <w:r w:rsidRPr="00583A63">
        <w:rPr>
          <w:i/>
          <w:lang w:val="fr-FR"/>
        </w:rPr>
        <w:t xml:space="preserve"> juges,</w:t>
      </w:r>
      <w:r w:rsidRPr="00583A63">
        <w:rPr>
          <w:i/>
          <w:lang w:val="fr-FR"/>
        </w:rPr>
        <w:br/>
      </w:r>
      <w:r w:rsidR="00546EB7" w:rsidRPr="00583A63">
        <w:rPr>
          <w:lang w:val="fr-FR"/>
        </w:rPr>
        <w:t>et de Françoise Elens-Passos</w:t>
      </w:r>
      <w:r w:rsidR="003A0978" w:rsidRPr="00583A63">
        <w:rPr>
          <w:lang w:val="fr-FR"/>
        </w:rPr>
        <w:t xml:space="preserve">, </w:t>
      </w:r>
      <w:r w:rsidR="00546EB7" w:rsidRPr="00583A63">
        <w:rPr>
          <w:i/>
          <w:lang w:val="fr-FR"/>
        </w:rPr>
        <w:t>greffière de section</w:t>
      </w:r>
      <w:r w:rsidR="00546EB7" w:rsidRPr="00583A63">
        <w:rPr>
          <w:lang w:val="fr-FR"/>
        </w:rPr>
        <w:t>,</w:t>
      </w:r>
    </w:p>
    <w:p w:rsidR="00546EB7" w:rsidRPr="00583A63" w:rsidRDefault="00546EB7" w:rsidP="00583A63">
      <w:pPr>
        <w:pStyle w:val="ECHRPara"/>
        <w:rPr>
          <w:lang w:val="fr-FR"/>
        </w:rPr>
      </w:pPr>
      <w:r w:rsidRPr="00583A63">
        <w:rPr>
          <w:lang w:val="fr-FR"/>
        </w:rPr>
        <w:t>Vu la requête susmentionnée introduite le 23 novembre 2004,</w:t>
      </w:r>
    </w:p>
    <w:p w:rsidR="00546EB7" w:rsidRPr="00583A63" w:rsidRDefault="00546EB7" w:rsidP="00583A63">
      <w:pPr>
        <w:pStyle w:val="ECHRPara"/>
        <w:rPr>
          <w:lang w:val="fr-FR"/>
        </w:rPr>
      </w:pPr>
      <w:r w:rsidRPr="00583A63">
        <w:rPr>
          <w:lang w:val="fr-FR"/>
        </w:rPr>
        <w:t>Vu les observations soumises par le gouvernement défendeur et celles présentées en réponse par la société requérante,</w:t>
      </w:r>
    </w:p>
    <w:p w:rsidR="00546EB7" w:rsidRPr="00583A63" w:rsidRDefault="00546EB7" w:rsidP="00583A63">
      <w:pPr>
        <w:pStyle w:val="ECHRPara"/>
        <w:rPr>
          <w:lang w:val="fr-FR"/>
        </w:rPr>
      </w:pPr>
      <w:r w:rsidRPr="00583A63">
        <w:rPr>
          <w:lang w:val="fr-FR"/>
        </w:rPr>
        <w:t>Après en avoir délibéré, rend la décision suivante :</w:t>
      </w:r>
    </w:p>
    <w:p w:rsidR="00546EB7" w:rsidRPr="00583A63" w:rsidRDefault="00546EB7" w:rsidP="00583A63">
      <w:pPr>
        <w:pStyle w:val="ECHRTitle1"/>
        <w:rPr>
          <w:lang w:val="fr-FR"/>
        </w:rPr>
      </w:pPr>
      <w:r w:rsidRPr="00583A63">
        <w:rPr>
          <w:lang w:val="fr-FR"/>
        </w:rPr>
        <w:t>EN FAIT</w:t>
      </w:r>
    </w:p>
    <w:p w:rsidR="00546EB7" w:rsidRPr="00583A63" w:rsidRDefault="00546EB7" w:rsidP="00583A63">
      <w:pPr>
        <w:pStyle w:val="ECHRPara"/>
        <w:rPr>
          <w:lang w:val="fr-FR"/>
        </w:rPr>
      </w:pPr>
      <w:r w:rsidRPr="00583A63">
        <w:rPr>
          <w:lang w:val="fr-FR"/>
        </w:rPr>
        <w:t>1.  L</w:t>
      </w:r>
      <w:r w:rsidR="00C02E19" w:rsidRPr="00583A63">
        <w:rPr>
          <w:lang w:val="fr-FR"/>
        </w:rPr>
        <w:t>a</w:t>
      </w:r>
      <w:r w:rsidRPr="00583A63">
        <w:rPr>
          <w:lang w:val="fr-FR"/>
        </w:rPr>
        <w:t xml:space="preserve"> requérante, Virgilio S.P.A., est une société anonyme italienne ayant son siège social à Brescia. Elle a été représenté</w:t>
      </w:r>
      <w:r w:rsidR="005F7DA1" w:rsidRPr="00583A63">
        <w:rPr>
          <w:lang w:val="fr-FR"/>
        </w:rPr>
        <w:t>e</w:t>
      </w:r>
      <w:r w:rsidRPr="00583A63">
        <w:rPr>
          <w:lang w:val="fr-FR"/>
        </w:rPr>
        <w:t xml:space="preserve"> devant la Cour par M</w:t>
      </w:r>
      <w:r w:rsidRPr="00583A63">
        <w:rPr>
          <w:vertAlign w:val="superscript"/>
          <w:lang w:val="fr-FR"/>
        </w:rPr>
        <w:t>e</w:t>
      </w:r>
      <w:r w:rsidRPr="00583A63">
        <w:rPr>
          <w:lang w:val="fr-FR"/>
        </w:rPr>
        <w:t> E. Senini, avocat à Brescia.</w:t>
      </w:r>
    </w:p>
    <w:p w:rsidR="00546EB7" w:rsidRPr="00583A63" w:rsidRDefault="00546EB7" w:rsidP="00583A63">
      <w:pPr>
        <w:pStyle w:val="ECHRPara"/>
        <w:rPr>
          <w:lang w:val="fr-FR"/>
        </w:rPr>
      </w:pPr>
      <w:r w:rsidRPr="00583A63">
        <w:rPr>
          <w:lang w:val="fr-FR"/>
        </w:rPr>
        <w:t>2.  Le gouvernement italien (« le Gouvernement ») a été représenté par son agent, M</w:t>
      </w:r>
      <w:r w:rsidRPr="00583A63">
        <w:rPr>
          <w:vertAlign w:val="superscript"/>
          <w:lang w:val="fr-FR"/>
        </w:rPr>
        <w:t>me</w:t>
      </w:r>
      <w:r w:rsidRPr="00583A63">
        <w:rPr>
          <w:lang w:val="fr-FR"/>
        </w:rPr>
        <w:t xml:space="preserve"> E. Spatafora, et par ses co-agents, M</w:t>
      </w:r>
      <w:r w:rsidRPr="00583A63">
        <w:rPr>
          <w:vertAlign w:val="superscript"/>
          <w:lang w:val="fr-FR"/>
        </w:rPr>
        <w:t>me</w:t>
      </w:r>
      <w:r w:rsidRPr="00583A63">
        <w:rPr>
          <w:lang w:val="fr-FR"/>
        </w:rPr>
        <w:t xml:space="preserve"> P. Accardo et M. G.M. Pellegrini.</w:t>
      </w:r>
    </w:p>
    <w:p w:rsidR="00546EB7" w:rsidRPr="00583A63" w:rsidRDefault="00546EB7" w:rsidP="00583A63">
      <w:pPr>
        <w:pStyle w:val="ECHRHeading2"/>
        <w:rPr>
          <w:lang w:val="fr-FR"/>
        </w:rPr>
      </w:pPr>
      <w:r w:rsidRPr="00583A63">
        <w:rPr>
          <w:lang w:val="fr-FR"/>
        </w:rPr>
        <w:lastRenderedPageBreak/>
        <w:t>A.  Les circonstances de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espèce</w:t>
      </w:r>
    </w:p>
    <w:p w:rsidR="00546EB7" w:rsidRPr="00583A63" w:rsidRDefault="00546EB7" w:rsidP="00583A63">
      <w:pPr>
        <w:pStyle w:val="ECHRPara"/>
        <w:rPr>
          <w:lang w:val="fr-FR"/>
        </w:rPr>
      </w:pPr>
      <w:r w:rsidRPr="00583A63">
        <w:rPr>
          <w:lang w:val="fr-FR"/>
        </w:rPr>
        <w:t>3.  Les faits de la cause, tels qu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ils ont été exposés par les parties, peuvent se résumer comme suit.</w:t>
      </w:r>
    </w:p>
    <w:p w:rsidR="00546EB7" w:rsidRPr="00583A63" w:rsidRDefault="00546EB7" w:rsidP="00583A63">
      <w:pPr>
        <w:pStyle w:val="ECHRPara"/>
        <w:rPr>
          <w:lang w:val="fr-FR"/>
        </w:rPr>
      </w:pPr>
      <w:bookmarkStart w:id="1" w:name="demandesremboursement"/>
      <w:r w:rsidRPr="00583A63">
        <w:rPr>
          <w:lang w:val="fr-FR"/>
        </w:rPr>
        <w:t>4</w:t>
      </w:r>
      <w:bookmarkEnd w:id="1"/>
      <w:r w:rsidRPr="00583A63">
        <w:rPr>
          <w:lang w:val="fr-FR"/>
        </w:rPr>
        <w:t>.  La requérante a régulièrement versé à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État des acomptes sur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impôt sur le revenu. Cependant, pour les années 1989, 1992, 1993, 1994, 1996, 1997, 1998, et 2001, elle a constaté que son revenu réel était inférieur aux estimations de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administration fiscale. Dans ses déclarations des revenus pour les années en question, elle a donc revendiqué les sommes suivantes à titre de remboursement de ses crédits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impôt :</w:t>
      </w:r>
    </w:p>
    <w:p w:rsidR="00546EB7" w:rsidRPr="00583A63" w:rsidRDefault="00546EB7" w:rsidP="00583A63">
      <w:pPr>
        <w:pStyle w:val="ECHRPara"/>
        <w:rPr>
          <w:lang w:val="fr-FR"/>
        </w:rPr>
      </w:pPr>
      <w:r w:rsidRPr="00583A63">
        <w:rPr>
          <w:lang w:val="fr-FR"/>
        </w:rPr>
        <w:t>- 89 580 000 lires (ITL – environ 46 264 euros (EUR)) pour 1989 ;</w:t>
      </w:r>
    </w:p>
    <w:p w:rsidR="00546EB7" w:rsidRPr="00583A63" w:rsidRDefault="00546EB7" w:rsidP="00583A63">
      <w:pPr>
        <w:pStyle w:val="ECHRPara"/>
        <w:rPr>
          <w:lang w:val="fr-FR"/>
        </w:rPr>
      </w:pPr>
      <w:r w:rsidRPr="00583A63">
        <w:rPr>
          <w:lang w:val="fr-FR"/>
        </w:rPr>
        <w:t>- 83 531 000 ITL (environ 43 140 EUR) pour 1992 ;</w:t>
      </w:r>
    </w:p>
    <w:p w:rsidR="00546EB7" w:rsidRPr="00583A63" w:rsidRDefault="00546EB7" w:rsidP="00583A63">
      <w:pPr>
        <w:pStyle w:val="ECHRPara"/>
        <w:rPr>
          <w:lang w:val="fr-FR"/>
        </w:rPr>
      </w:pPr>
      <w:r w:rsidRPr="00583A63">
        <w:rPr>
          <w:lang w:val="fr-FR"/>
        </w:rPr>
        <w:t>- 89 837 000 ITL (environ 46 396 EUR) pour 1993 ;</w:t>
      </w:r>
    </w:p>
    <w:p w:rsidR="00546EB7" w:rsidRPr="00583A63" w:rsidRDefault="00546EB7" w:rsidP="00583A63">
      <w:pPr>
        <w:pStyle w:val="ECHRPara"/>
        <w:rPr>
          <w:lang w:val="fr-FR"/>
        </w:rPr>
      </w:pPr>
      <w:r w:rsidRPr="00583A63">
        <w:rPr>
          <w:lang w:val="fr-FR"/>
        </w:rPr>
        <w:t>- 86 044 000 ITL (environ 44 438 EUR) pour 1994 ;</w:t>
      </w:r>
    </w:p>
    <w:p w:rsidR="00546EB7" w:rsidRPr="00583A63" w:rsidRDefault="00546EB7" w:rsidP="00583A63">
      <w:pPr>
        <w:pStyle w:val="ECHRPara"/>
        <w:rPr>
          <w:lang w:val="fr-FR"/>
        </w:rPr>
      </w:pPr>
      <w:r w:rsidRPr="00583A63">
        <w:rPr>
          <w:lang w:val="fr-FR"/>
        </w:rPr>
        <w:t>- 79 731 000 ITL (environ 41 177 EUR) pour 1996 ;</w:t>
      </w:r>
    </w:p>
    <w:p w:rsidR="00546EB7" w:rsidRPr="00583A63" w:rsidRDefault="00546EB7" w:rsidP="00583A63">
      <w:pPr>
        <w:pStyle w:val="ECHRPara"/>
        <w:rPr>
          <w:lang w:val="fr-FR"/>
        </w:rPr>
      </w:pPr>
      <w:r w:rsidRPr="00583A63">
        <w:rPr>
          <w:lang w:val="fr-FR"/>
        </w:rPr>
        <w:t>- 91 079 000 ITL (environ 47 038 EUR) pour 1997 ;</w:t>
      </w:r>
    </w:p>
    <w:p w:rsidR="00546EB7" w:rsidRPr="00583A63" w:rsidRDefault="00546EB7" w:rsidP="00583A63">
      <w:pPr>
        <w:pStyle w:val="ECHRPara"/>
        <w:rPr>
          <w:lang w:val="fr-FR"/>
        </w:rPr>
      </w:pPr>
      <w:r w:rsidRPr="00583A63">
        <w:rPr>
          <w:lang w:val="fr-FR"/>
        </w:rPr>
        <w:t>- 90 000 000 ITL (environ 46 481 EUR) pour 1998 ;</w:t>
      </w:r>
    </w:p>
    <w:p w:rsidR="00546EB7" w:rsidRPr="00583A63" w:rsidRDefault="00546EB7" w:rsidP="00583A63">
      <w:pPr>
        <w:pStyle w:val="ECHRPara"/>
        <w:rPr>
          <w:lang w:val="fr-FR"/>
        </w:rPr>
      </w:pPr>
      <w:r w:rsidRPr="00583A63">
        <w:rPr>
          <w:lang w:val="fr-FR"/>
        </w:rPr>
        <w:t>- 55 000 EUR pour 2001.</w:t>
      </w:r>
    </w:p>
    <w:p w:rsidR="00546EB7" w:rsidRPr="00583A63" w:rsidRDefault="00546EB7" w:rsidP="00583A63">
      <w:pPr>
        <w:pStyle w:val="ECHRPara"/>
        <w:rPr>
          <w:lang w:val="fr-FR"/>
        </w:rPr>
      </w:pPr>
      <w:r w:rsidRPr="00583A63">
        <w:rPr>
          <w:rFonts w:cstheme="minorHAnsi"/>
          <w:lang w:val="fr-FR"/>
        </w:rPr>
        <w:t>5.  À</w:t>
      </w:r>
      <w:r w:rsidRPr="00583A63">
        <w:rPr>
          <w:lang w:val="fr-FR"/>
        </w:rPr>
        <w:t xml:space="preserve"> la demande de la requérante, un montant égal à 80% des sommes dues pour 1989 et 1992 fut payé en obligations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État le 8 mars 2000. Dès lors, les sommes restant dues s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élevaient à</w:t>
      </w:r>
      <w:r w:rsidR="005F7DA1" w:rsidRPr="00583A63">
        <w:rPr>
          <w:lang w:val="fr-FR"/>
        </w:rPr>
        <w:t xml:space="preserve"> 24 357 000 ITL (environ 12 579 </w:t>
      </w:r>
      <w:r w:rsidRPr="00583A63">
        <w:rPr>
          <w:lang w:val="fr-FR"/>
        </w:rPr>
        <w:t>EUR) pour 1989 et 20 546 000 ITL (environ 10 611 EUR) pour 1992.</w:t>
      </w:r>
    </w:p>
    <w:p w:rsidR="00546EB7" w:rsidRPr="00583A63" w:rsidRDefault="00546EB7" w:rsidP="00583A63">
      <w:pPr>
        <w:pStyle w:val="ECHRPara"/>
        <w:rPr>
          <w:lang w:val="fr-FR"/>
        </w:rPr>
      </w:pPr>
      <w:bookmarkStart w:id="2" w:name="sollecitoagenziaentrate"/>
      <w:r w:rsidRPr="00583A63">
        <w:rPr>
          <w:lang w:val="fr-FR"/>
        </w:rPr>
        <w:t>6</w:t>
      </w:r>
      <w:bookmarkEnd w:id="2"/>
      <w:r w:rsidRPr="00583A63">
        <w:rPr>
          <w:lang w:val="fr-FR"/>
        </w:rPr>
        <w:t>.  Le 30 novembre 2000, la requérante sollicita auprès des autorités fiscales régionales le versement des sommes dues à titre de crédits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impôt pour les années 1989, 1992, 1993, 1994 et 1996.</w:t>
      </w:r>
    </w:p>
    <w:p w:rsidR="00546EB7" w:rsidRPr="00583A63" w:rsidRDefault="00546EB7" w:rsidP="00583A63">
      <w:pPr>
        <w:pStyle w:val="ECHRPara"/>
        <w:rPr>
          <w:lang w:val="fr-FR"/>
        </w:rPr>
      </w:pPr>
      <w:bookmarkStart w:id="3" w:name="ricorsocommfisc"/>
      <w:r w:rsidRPr="00583A63">
        <w:rPr>
          <w:lang w:val="fr-FR"/>
        </w:rPr>
        <w:t>7</w:t>
      </w:r>
      <w:bookmarkEnd w:id="3"/>
      <w:r w:rsidRPr="00583A63">
        <w:rPr>
          <w:lang w:val="fr-FR"/>
        </w:rPr>
        <w:t>.  N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ayant reçu aucun paiement, le 13 septembre 2004, la requérante introduisit un recours devant la commission fiscale provinciale (</w:t>
      </w:r>
      <w:r w:rsidRPr="00583A63">
        <w:rPr>
          <w:i/>
          <w:lang w:val="fr-FR"/>
        </w:rPr>
        <w:t>commissione tributaria provinciale</w:t>
      </w:r>
      <w:r w:rsidRPr="00583A63">
        <w:rPr>
          <w:lang w:val="fr-FR"/>
        </w:rPr>
        <w:t>)</w:t>
      </w:r>
      <w:r w:rsidRPr="00583A63">
        <w:rPr>
          <w:i/>
          <w:lang w:val="fr-FR"/>
        </w:rPr>
        <w:t xml:space="preserve"> </w:t>
      </w:r>
      <w:r w:rsidRPr="00583A63">
        <w:rPr>
          <w:lang w:val="fr-FR"/>
        </w:rPr>
        <w:t>de Brescia. Elle exposa que ses crédits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impôt non compensés par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octroi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obligations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État s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élevaient désormais à 303 722,10 EUR, somme à laquelle s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ajoutaient les intérêts légaux, et en demanda le paiement.</w:t>
      </w:r>
    </w:p>
    <w:p w:rsidR="00546EB7" w:rsidRPr="00583A63" w:rsidRDefault="00546EB7" w:rsidP="00583A63">
      <w:pPr>
        <w:pStyle w:val="ECHRPara"/>
        <w:rPr>
          <w:lang w:val="fr-FR"/>
        </w:rPr>
      </w:pPr>
      <w:bookmarkStart w:id="4" w:name="memoireadminsitrationfiscale"/>
      <w:r w:rsidRPr="00583A63">
        <w:rPr>
          <w:lang w:val="fr-FR"/>
        </w:rPr>
        <w:t>8</w:t>
      </w:r>
      <w:bookmarkEnd w:id="4"/>
      <w:r w:rsidRPr="00583A63">
        <w:rPr>
          <w:lang w:val="fr-FR"/>
        </w:rPr>
        <w:t>.  Dans un mémoire du 24 décembre 2004,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administration fiscale indiqua que les sommes restant dues pour 1989 et 1992 n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avaient pas été versées à cause de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absence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instructions spécifiques du ministère des Finances.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administration s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engageait à rembourser à la requérante les crédits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impôt revendiqués pour les années 1993, 1994, 1996, 1997, 1998 et 2001.</w:t>
      </w:r>
    </w:p>
    <w:p w:rsidR="00546EB7" w:rsidRPr="00583A63" w:rsidRDefault="00546EB7" w:rsidP="00583A63">
      <w:pPr>
        <w:pStyle w:val="ECHRPara"/>
        <w:rPr>
          <w:lang w:val="fr-FR"/>
        </w:rPr>
      </w:pPr>
      <w:bookmarkStart w:id="5" w:name="decisioncommfisc"/>
      <w:r w:rsidRPr="00583A63">
        <w:rPr>
          <w:lang w:val="fr-FR"/>
        </w:rPr>
        <w:t>9</w:t>
      </w:r>
      <w:bookmarkEnd w:id="5"/>
      <w:r w:rsidRPr="00583A63">
        <w:rPr>
          <w:lang w:val="fr-FR"/>
        </w:rPr>
        <w:t>.  Par une décision du 4 février 2005, dont le texte fut déposé au greffe le 4</w:t>
      </w:r>
      <w:r w:rsidR="005849DD" w:rsidRPr="00583A63">
        <w:rPr>
          <w:lang w:val="fr-FR"/>
        </w:rPr>
        <w:t xml:space="preserve"> </w:t>
      </w:r>
      <w:r w:rsidRPr="00583A63">
        <w:rPr>
          <w:lang w:val="fr-FR"/>
        </w:rPr>
        <w:t>mars 2005, la commission fiscale provinciale accueillit le recours de la requérante. Elle souligna que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absence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instructions spécifiques n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exonérait pas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administration de son devoir de verser à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intéressée les sommes auxquelles elle avait droit.</w:t>
      </w:r>
    </w:p>
    <w:p w:rsidR="00546EB7" w:rsidRPr="00583A63" w:rsidRDefault="00546EB7" w:rsidP="00583A63">
      <w:pPr>
        <w:pStyle w:val="ECHRPara"/>
        <w:rPr>
          <w:lang w:val="fr-FR"/>
        </w:rPr>
      </w:pPr>
      <w:bookmarkStart w:id="6" w:name="ricorrenteiniziaproceduraesecuzione"/>
      <w:r w:rsidRPr="00583A63">
        <w:rPr>
          <w:lang w:val="fr-FR"/>
        </w:rPr>
        <w:lastRenderedPageBreak/>
        <w:t>10</w:t>
      </w:r>
      <w:bookmarkEnd w:id="6"/>
      <w:r w:rsidRPr="00583A63">
        <w:rPr>
          <w:lang w:val="fr-FR"/>
        </w:rPr>
        <w:t>.  La décision de la commission fiscale fut notifiée à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administration le 15 juillet 2005. Après avoir attendu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é</w:t>
      </w:r>
      <w:r w:rsidR="005849DD" w:rsidRPr="00583A63">
        <w:rPr>
          <w:lang w:val="fr-FR"/>
        </w:rPr>
        <w:t>coulement du délai légal de 120 </w:t>
      </w:r>
      <w:r w:rsidRPr="00583A63">
        <w:rPr>
          <w:lang w:val="fr-FR"/>
        </w:rPr>
        <w:t>jours, le 1</w:t>
      </w:r>
      <w:r w:rsidRPr="00583A63">
        <w:rPr>
          <w:vertAlign w:val="superscript"/>
          <w:lang w:val="fr-FR"/>
        </w:rPr>
        <w:t>er</w:t>
      </w:r>
      <w:r w:rsidRPr="00583A63">
        <w:rPr>
          <w:lang w:val="fr-FR"/>
        </w:rPr>
        <w:t xml:space="preserve"> février 2006, la requérante notifia à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administration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acte initial de la procédure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exécution forcée (</w:t>
      </w:r>
      <w:r w:rsidRPr="00583A63">
        <w:rPr>
          <w:i/>
          <w:lang w:val="fr-FR"/>
        </w:rPr>
        <w:t>atto di precetto</w:t>
      </w:r>
      <w:r w:rsidRPr="00583A63">
        <w:rPr>
          <w:lang w:val="fr-FR"/>
        </w:rPr>
        <w:t>).</w:t>
      </w:r>
    </w:p>
    <w:p w:rsidR="00546EB7" w:rsidRPr="00583A63" w:rsidRDefault="00546EB7" w:rsidP="00583A63">
      <w:pPr>
        <w:pStyle w:val="ECHRPara"/>
        <w:rPr>
          <w:lang w:val="fr-FR"/>
        </w:rPr>
      </w:pPr>
      <w:bookmarkStart w:id="7" w:name="remboursementintegral"/>
      <w:r w:rsidRPr="00583A63">
        <w:rPr>
          <w:lang w:val="fr-FR"/>
        </w:rPr>
        <w:t>11</w:t>
      </w:r>
      <w:bookmarkEnd w:id="7"/>
      <w:r w:rsidRPr="00583A63">
        <w:rPr>
          <w:lang w:val="fr-FR"/>
        </w:rPr>
        <w:t>.  Selon les informations fournies par la requérante le 18 décembre 2014,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administration fiscale effectua par la suite plusieurs versements en sa faveur. Les sommes reconnues à la requérante par la décision du 4 février 2005 furent intégralement remboursées en juin 2006.</w:t>
      </w:r>
    </w:p>
    <w:p w:rsidR="00546EB7" w:rsidRPr="00583A63" w:rsidRDefault="00546EB7" w:rsidP="00583A63">
      <w:pPr>
        <w:pStyle w:val="ECHRHeading2"/>
        <w:rPr>
          <w:lang w:val="fr-FR"/>
        </w:rPr>
      </w:pPr>
      <w:r w:rsidRPr="00583A63">
        <w:rPr>
          <w:lang w:val="fr-FR"/>
        </w:rPr>
        <w:t>B.  Le droit et la pratique internes pertinents</w:t>
      </w:r>
    </w:p>
    <w:p w:rsidR="00546EB7" w:rsidRPr="00583A63" w:rsidRDefault="00546EB7" w:rsidP="00583A63">
      <w:pPr>
        <w:pStyle w:val="ECHRPara"/>
        <w:rPr>
          <w:lang w:val="fr-FR"/>
        </w:rPr>
      </w:pPr>
      <w:r w:rsidRPr="00583A63">
        <w:rPr>
          <w:lang w:val="fr-FR"/>
        </w:rPr>
        <w:t>12.  En Italie, les sociétés sont tenues de verser à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État des acomptes sur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impôt sur le revenu. Chaque année, au moment de présenter sa déclaration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impôt, le contribuable calcule le montant imposable des revenus effectifs de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année précédente. Il se peut que les sommes prélevées par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administration à titre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acompte soient supérieures au montant de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impôt dû et que le contribuable devienne ainsi titulaire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un crédit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impôt envers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État.</w:t>
      </w:r>
    </w:p>
    <w:p w:rsidR="00546EB7" w:rsidRPr="00583A63" w:rsidRDefault="00546EB7" w:rsidP="00583A63">
      <w:pPr>
        <w:pStyle w:val="ECHRPara"/>
        <w:rPr>
          <w:lang w:val="fr-FR"/>
        </w:rPr>
      </w:pPr>
      <w:bookmarkStart w:id="8" w:name="rimborsoautomatico"/>
      <w:r w:rsidRPr="00583A63">
        <w:rPr>
          <w:lang w:val="fr-FR"/>
        </w:rPr>
        <w:t>13</w:t>
      </w:r>
      <w:bookmarkEnd w:id="8"/>
      <w:r w:rsidRPr="00583A63">
        <w:rPr>
          <w:lang w:val="fr-FR"/>
        </w:rPr>
        <w:t>.  Lorsqu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il s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agit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un crédit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impôt sur le revenu,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administration est tenue de procéder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office au remboursement, la déclaration des revenus valant demande de remboursement (article 41 du décret du Président de la République (DPR) n</w:t>
      </w:r>
      <w:r w:rsidRPr="00583A63">
        <w:rPr>
          <w:vertAlign w:val="superscript"/>
          <w:lang w:val="fr-FR"/>
        </w:rPr>
        <w:t>o</w:t>
      </w:r>
      <w:r w:rsidRPr="00583A63">
        <w:rPr>
          <w:lang w:val="fr-FR"/>
        </w:rPr>
        <w:t xml:space="preserve"> 602 de 1973).</w:t>
      </w:r>
    </w:p>
    <w:p w:rsidR="00546EB7" w:rsidRPr="00583A63" w:rsidRDefault="00546EB7" w:rsidP="00583A63">
      <w:pPr>
        <w:pStyle w:val="ECHRPara"/>
        <w:rPr>
          <w:lang w:val="fr-FR"/>
        </w:rPr>
      </w:pPr>
      <w:r w:rsidRPr="00583A63">
        <w:rPr>
          <w:lang w:val="fr-FR"/>
        </w:rPr>
        <w:t xml:space="preserve">14.  Pour plus de précisions sur le droit et la pratique internes pertinents, voir </w:t>
      </w:r>
      <w:r w:rsidRPr="00583A63">
        <w:rPr>
          <w:i/>
          <w:lang w:val="fr-FR"/>
        </w:rPr>
        <w:t>Buffalo S.r.l. en liquidation c. Italie</w:t>
      </w:r>
      <w:r w:rsidRPr="00583A63">
        <w:rPr>
          <w:lang w:val="fr-FR"/>
        </w:rPr>
        <w:t>, n</w:t>
      </w:r>
      <w:r w:rsidRPr="00583A63">
        <w:rPr>
          <w:vertAlign w:val="superscript"/>
          <w:lang w:val="fr-FR"/>
        </w:rPr>
        <w:t>o</w:t>
      </w:r>
      <w:r w:rsidRPr="00583A63">
        <w:rPr>
          <w:lang w:val="fr-FR"/>
        </w:rPr>
        <w:t xml:space="preserve"> 38746/97, §§ 16-23, 3 juillet 2003.</w:t>
      </w:r>
    </w:p>
    <w:p w:rsidR="00546EB7" w:rsidRPr="00583A63" w:rsidRDefault="00546EB7" w:rsidP="00583A63">
      <w:pPr>
        <w:pStyle w:val="ECHRTitle1"/>
        <w:rPr>
          <w:lang w:val="fr-FR"/>
        </w:rPr>
      </w:pPr>
      <w:r w:rsidRPr="00583A63">
        <w:rPr>
          <w:lang w:val="fr-FR"/>
        </w:rPr>
        <w:t>GRIEF</w:t>
      </w:r>
    </w:p>
    <w:p w:rsidR="00546EB7" w:rsidRPr="00583A63" w:rsidRDefault="00546EB7" w:rsidP="00583A63">
      <w:pPr>
        <w:pStyle w:val="ECHRPara"/>
        <w:rPr>
          <w:lang w:val="fr-FR"/>
        </w:rPr>
      </w:pPr>
      <w:r w:rsidRPr="00583A63">
        <w:rPr>
          <w:lang w:val="fr-FR"/>
        </w:rPr>
        <w:t>15.  Invoquant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article 1 du Protocole n</w:t>
      </w:r>
      <w:r w:rsidRPr="00583A63">
        <w:rPr>
          <w:vertAlign w:val="superscript"/>
          <w:lang w:val="fr-FR"/>
        </w:rPr>
        <w:t>o</w:t>
      </w:r>
      <w:r w:rsidRPr="00583A63">
        <w:rPr>
          <w:lang w:val="fr-FR"/>
        </w:rPr>
        <w:t xml:space="preserve"> 1 à la Convention, la requérante se plaint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une atteinte à son droit au respect de ses biens.</w:t>
      </w:r>
    </w:p>
    <w:p w:rsidR="00546EB7" w:rsidRPr="00583A63" w:rsidRDefault="00546EB7" w:rsidP="00583A63">
      <w:pPr>
        <w:pStyle w:val="ECHRTitle1"/>
        <w:rPr>
          <w:lang w:val="fr-FR"/>
        </w:rPr>
      </w:pPr>
      <w:r w:rsidRPr="00583A63">
        <w:rPr>
          <w:lang w:val="fr-FR"/>
        </w:rPr>
        <w:t>EN DROIT</w:t>
      </w:r>
    </w:p>
    <w:p w:rsidR="00546EB7" w:rsidRPr="00583A63" w:rsidRDefault="00546EB7" w:rsidP="00583A63">
      <w:pPr>
        <w:pStyle w:val="ECHRPara"/>
        <w:rPr>
          <w:lang w:val="fr-FR"/>
        </w:rPr>
      </w:pPr>
      <w:r w:rsidRPr="00583A63">
        <w:rPr>
          <w:lang w:val="fr-FR"/>
        </w:rPr>
        <w:t>16.  La requérante considère que le retard de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administration dans le remboursement de ses crédits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impôt a violé son droit au respect de ses biens, tel que garanti par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article 1 du Protocole n</w:t>
      </w:r>
      <w:r w:rsidRPr="00583A63">
        <w:rPr>
          <w:vertAlign w:val="superscript"/>
          <w:lang w:val="fr-FR"/>
        </w:rPr>
        <w:t>o</w:t>
      </w:r>
      <w:r w:rsidRPr="00583A63">
        <w:rPr>
          <w:lang w:val="fr-FR"/>
        </w:rPr>
        <w:t xml:space="preserve"> 1 à la Convention.</w:t>
      </w:r>
    </w:p>
    <w:p w:rsidR="00546EB7" w:rsidRPr="00583A63" w:rsidRDefault="00546EB7" w:rsidP="00583A63">
      <w:pPr>
        <w:pStyle w:val="ECHRPara"/>
        <w:rPr>
          <w:lang w:val="fr-FR"/>
        </w:rPr>
      </w:pPr>
      <w:r w:rsidRPr="00583A63">
        <w:rPr>
          <w:lang w:val="fr-FR"/>
        </w:rPr>
        <w:t>Cette disposition est ainsi libellée :</w:t>
      </w:r>
    </w:p>
    <w:p w:rsidR="00546EB7" w:rsidRPr="00583A63" w:rsidRDefault="00546EB7" w:rsidP="00583A63">
      <w:pPr>
        <w:pStyle w:val="ECHRParaQuote"/>
        <w:rPr>
          <w:lang w:val="fr-FR"/>
        </w:rPr>
      </w:pPr>
      <w:r w:rsidRPr="00583A63">
        <w:rPr>
          <w:lang w:val="fr-FR"/>
        </w:rPr>
        <w:t>« Toute personne physique ou morale a droit au respect de ses biens. Nul ne peut être privé de sa propriété que pour cause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utilité publique et dans les conditions prévues par la loi et les principes généraux du droit international.</w:t>
      </w:r>
    </w:p>
    <w:p w:rsidR="00546EB7" w:rsidRPr="00583A63" w:rsidRDefault="00546EB7" w:rsidP="00583A63">
      <w:pPr>
        <w:pStyle w:val="ECHRParaQuote"/>
        <w:rPr>
          <w:lang w:val="fr-FR"/>
        </w:rPr>
      </w:pPr>
      <w:r w:rsidRPr="00583A63">
        <w:rPr>
          <w:lang w:val="fr-FR"/>
        </w:rPr>
        <w:lastRenderedPageBreak/>
        <w:t>Les dispositions précédentes ne portent pas atteinte au droit que possèdent les États de mettre en vigueur les lois qu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ils jugent nécessaires pour réglementer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usage des biens conformément à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intérêt général ou pour assurer le paiement des impôts ou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autres contributions ou des amendes. »</w:t>
      </w:r>
    </w:p>
    <w:p w:rsidR="00546EB7" w:rsidRPr="00583A63" w:rsidRDefault="00546EB7" w:rsidP="00583A63">
      <w:pPr>
        <w:pStyle w:val="ECHRPara"/>
        <w:rPr>
          <w:lang w:val="fr-FR"/>
        </w:rPr>
      </w:pPr>
      <w:r w:rsidRPr="00583A63">
        <w:rPr>
          <w:lang w:val="fr-FR"/>
        </w:rPr>
        <w:t>17.  Le Gouvernement s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oppose à cette thèse.</w:t>
      </w:r>
    </w:p>
    <w:p w:rsidR="00546EB7" w:rsidRPr="00583A63" w:rsidRDefault="00546EB7" w:rsidP="00583A63">
      <w:pPr>
        <w:pStyle w:val="ECHRHeading2"/>
        <w:rPr>
          <w:lang w:val="fr-FR"/>
        </w:rPr>
      </w:pPr>
      <w:r w:rsidRPr="00583A63">
        <w:rPr>
          <w:lang w:val="fr-FR"/>
        </w:rPr>
        <w:t>A.  Arguments des parties</w:t>
      </w:r>
    </w:p>
    <w:p w:rsidR="00546EB7" w:rsidRPr="00583A63" w:rsidRDefault="00546EB7" w:rsidP="00583A63">
      <w:pPr>
        <w:pStyle w:val="ECHRHeading3"/>
        <w:rPr>
          <w:lang w:val="fr-FR"/>
        </w:rPr>
      </w:pPr>
      <w:r w:rsidRPr="00583A63">
        <w:rPr>
          <w:lang w:val="fr-FR"/>
        </w:rPr>
        <w:t>1.  La requérante</w:t>
      </w:r>
    </w:p>
    <w:p w:rsidR="00546EB7" w:rsidRPr="00583A63" w:rsidRDefault="00546EB7" w:rsidP="00583A63">
      <w:pPr>
        <w:pStyle w:val="ECHRPara"/>
        <w:rPr>
          <w:lang w:val="fr-FR"/>
        </w:rPr>
      </w:pPr>
      <w:bookmarkStart w:id="9" w:name="requprejudiceinreipsa"/>
      <w:r w:rsidRPr="00583A63">
        <w:rPr>
          <w:lang w:val="fr-FR"/>
        </w:rPr>
        <w:t>18</w:t>
      </w:r>
      <w:bookmarkEnd w:id="9"/>
      <w:r w:rsidRPr="00583A63">
        <w:rPr>
          <w:lang w:val="fr-FR"/>
        </w:rPr>
        <w:t>.  La requérante soutient que le retard dans le remboursement des crédits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impôts est un problème systémique en Italie. Elle ajoute que le remboursement partiel par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octroi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obligations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État ne serait pas un moyen efficace car il créerait un atermoiement ultérieur dans le paiement de la dette de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État. Ceci serait préjudiciable pour le contribuable non seulement lorsque celui-ci se trouve dans une situation de détresse financière, mais aussi lorsque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entreprise créancière est financièrement saine. En effet, la non-disponibilité immédiate de sommes importantes a réduit les possibilités de la requérante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investir et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 xml:space="preserve">avoir accès à des prêts bancaires. </w:t>
      </w:r>
      <w:r w:rsidRPr="00583A63">
        <w:rPr>
          <w:rFonts w:cstheme="minorHAnsi"/>
          <w:lang w:val="fr-FR"/>
        </w:rPr>
        <w:t>À</w:t>
      </w:r>
      <w:r w:rsidRPr="00583A63">
        <w:rPr>
          <w:lang w:val="fr-FR"/>
        </w:rPr>
        <w:t xml:space="preserve"> la lumière de ce qui précède,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intéressée estime qu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il y a eu rupture du « juste équilibre » devant régner en la matière.</w:t>
      </w:r>
    </w:p>
    <w:p w:rsidR="00270F59" w:rsidRPr="00583A63" w:rsidRDefault="00546EB7" w:rsidP="00583A63">
      <w:pPr>
        <w:pStyle w:val="ECHRPara"/>
        <w:rPr>
          <w:lang w:val="fr-FR"/>
        </w:rPr>
      </w:pPr>
      <w:r w:rsidRPr="00583A63">
        <w:rPr>
          <w:lang w:val="fr-FR"/>
        </w:rPr>
        <w:t>19.  La requérante conteste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affirmation du Gouvernement selon laquelle elle aurait formulé tardivement ses demandes de remboursement. Aux termes du DPR n</w:t>
      </w:r>
      <w:r w:rsidRPr="00583A63">
        <w:rPr>
          <w:vertAlign w:val="superscript"/>
          <w:lang w:val="fr-FR"/>
        </w:rPr>
        <w:t>o</w:t>
      </w:r>
      <w:r w:rsidR="005849DD" w:rsidRPr="00583A63">
        <w:rPr>
          <w:lang w:val="fr-FR"/>
        </w:rPr>
        <w:t xml:space="preserve"> </w:t>
      </w:r>
      <w:r w:rsidRPr="00583A63">
        <w:rPr>
          <w:lang w:val="fr-FR"/>
        </w:rPr>
        <w:t>602 de 1973, elle a formulé de telles demandes dans ses déclarations des revenus relatives aux années 1989, 1992, 1993, 1994, 1996, 1997 et 2001. Elle avait donc une espérance légitime de recevoir les remboursements à bref délai. En dépit de cela, aucun remboursement ne lui a été automatiquement octroyé pour les années 1993, 1994, 1996, 1997, 1998 et 2001, et pour les années 1989 et 1992, seulement 80% du crédit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impôt lui a été payé en obligations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État.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inertie de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administration a contraint la requérante à saisir la commission fiscale provinciale. Même après la décision favorable de celle-ci,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État ne s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est pas acquitté de ses obligations et il a fallu entamer une procédure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exécution à son encontre (paragraphe 10 ci-dessus).</w:t>
      </w:r>
    </w:p>
    <w:p w:rsidR="00546EB7" w:rsidRPr="00583A63" w:rsidRDefault="00546EB7" w:rsidP="00583A63">
      <w:pPr>
        <w:pStyle w:val="ECHRPara"/>
        <w:rPr>
          <w:lang w:val="fr-FR"/>
        </w:rPr>
      </w:pPr>
      <w:r w:rsidRPr="00583A63">
        <w:rPr>
          <w:lang w:val="fr-FR"/>
        </w:rPr>
        <w:t>20.  </w:t>
      </w:r>
      <w:r w:rsidRPr="00583A63">
        <w:rPr>
          <w:rFonts w:cstheme="minorHAnsi"/>
          <w:lang w:val="fr-FR"/>
        </w:rPr>
        <w:t>À la</w:t>
      </w:r>
      <w:r w:rsidRPr="00583A63">
        <w:rPr>
          <w:lang w:val="fr-FR"/>
        </w:rPr>
        <w:t xml:space="preserve"> lumière de ce qui précède, la requérante estime que son affaire se rapproche de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 xml:space="preserve">affaire </w:t>
      </w:r>
      <w:r w:rsidRPr="00583A63">
        <w:rPr>
          <w:i/>
          <w:lang w:val="fr-FR"/>
        </w:rPr>
        <w:t>Buffalo S.r.l. en liquidation</w:t>
      </w:r>
      <w:r w:rsidRPr="00583A63">
        <w:rPr>
          <w:lang w:val="fr-FR"/>
        </w:rPr>
        <w:t>, précitée. Elle souligne que devant la commission fiscale,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administration a reconnu que les sommes restant dues pour 1989 et 1992 n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avaient pas été versées à cause de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absence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instructions spécifiques du ministère des Finances (paragraphe 8 ci-dessus), et donc en raison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une négligence de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État.</w:t>
      </w:r>
    </w:p>
    <w:p w:rsidR="00270F59" w:rsidRPr="00583A63" w:rsidRDefault="00546EB7" w:rsidP="00583A63">
      <w:pPr>
        <w:pStyle w:val="ECHRHeading3"/>
        <w:rPr>
          <w:lang w:val="fr-FR"/>
        </w:rPr>
      </w:pPr>
      <w:r w:rsidRPr="00583A63">
        <w:rPr>
          <w:lang w:val="fr-FR"/>
        </w:rPr>
        <w:t>2.  Le Gouvernement</w:t>
      </w:r>
    </w:p>
    <w:p w:rsidR="00546EB7" w:rsidRPr="00583A63" w:rsidRDefault="00546EB7" w:rsidP="00583A63">
      <w:pPr>
        <w:pStyle w:val="ECHRPara"/>
        <w:rPr>
          <w:lang w:val="fr-FR"/>
        </w:rPr>
      </w:pPr>
      <w:r w:rsidRPr="00583A63">
        <w:rPr>
          <w:lang w:val="fr-FR"/>
        </w:rPr>
        <w:t>21.  Le Gouvernement considère que la requérante disposait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un recours pour accélérer la procédure de remboursement de ses crédits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 xml:space="preserve">impôts. En </w:t>
      </w:r>
      <w:r w:rsidRPr="00583A63">
        <w:rPr>
          <w:lang w:val="fr-FR"/>
        </w:rPr>
        <w:lastRenderedPageBreak/>
        <w:t>effet, aux termes des articles 37 et 38 du DPR n</w:t>
      </w:r>
      <w:r w:rsidRPr="00583A63">
        <w:rPr>
          <w:vertAlign w:val="superscript"/>
          <w:lang w:val="fr-FR"/>
        </w:rPr>
        <w:t>o</w:t>
      </w:r>
      <w:r w:rsidRPr="00583A63">
        <w:rPr>
          <w:lang w:val="fr-FR"/>
        </w:rPr>
        <w:t xml:space="preserve"> 602 de 1973, tout contribuable peut demander ledit remboursement au bureau fiscal (</w:t>
      </w:r>
      <w:r w:rsidRPr="00583A63">
        <w:rPr>
          <w:i/>
          <w:lang w:val="fr-FR"/>
        </w:rPr>
        <w:t>agenzia delle entrate</w:t>
      </w:r>
      <w:r w:rsidRPr="00583A63">
        <w:rPr>
          <w:lang w:val="fr-FR"/>
        </w:rPr>
        <w:t>). Ce dernier doit répondre dans un délai de 90 jours,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absence de réponse valant rejet de la demande. Le contribuable peut attaquer un tel rejet devant la commission fiscale provinciale. Par ailleurs, selon une circulaire du bureau fiscal n</w:t>
      </w:r>
      <w:r w:rsidRPr="00583A63">
        <w:rPr>
          <w:vertAlign w:val="superscript"/>
          <w:lang w:val="fr-FR"/>
        </w:rPr>
        <w:t>o</w:t>
      </w:r>
      <w:r w:rsidRPr="00583A63">
        <w:rPr>
          <w:lang w:val="fr-FR"/>
        </w:rPr>
        <w:t xml:space="preserve"> 49/E du 1</w:t>
      </w:r>
      <w:r w:rsidRPr="00583A63">
        <w:rPr>
          <w:vertAlign w:val="superscript"/>
          <w:lang w:val="fr-FR"/>
        </w:rPr>
        <w:t>er</w:t>
      </w:r>
      <w:r w:rsidRPr="00583A63">
        <w:rPr>
          <w:lang w:val="fr-FR"/>
        </w:rPr>
        <w:t xml:space="preserve"> octobre 2010, les remboursements des crédits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impôts dus en exécution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une décision judiciaire ou reconnus par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administration fiscale doivent être payés avec priorité.</w:t>
      </w:r>
    </w:p>
    <w:p w:rsidR="00546EB7" w:rsidRPr="00583A63" w:rsidRDefault="00546EB7" w:rsidP="00583A63">
      <w:pPr>
        <w:pStyle w:val="ECHRPara"/>
        <w:rPr>
          <w:lang w:val="fr-FR"/>
        </w:rPr>
      </w:pPr>
      <w:r w:rsidRPr="00583A63">
        <w:rPr>
          <w:lang w:val="fr-FR"/>
        </w:rPr>
        <w:t>22.  Le Gouvernement note qu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en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espèce, la requérante a sollicité les remboursements le 30 novembre 2000 (paragraphe 6 ci-dessus), et a saisi la commission fiscale le 22 septembre 2004 (paragraphe 7 ci-dessus), soit trois à quinze ans après la fin des années fiscales de référence. La commission fiscale a fixé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audience au 4 février 2005, et le jour même elle a prononcé sa décision, donnant gain de cause à la requérante.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administration fiscale n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 pas contesté les prétentions de cette dernière et le remboursement, effectué progressivement, a été complété en juin 2006. Selon le Gouvernement, la requérante aurait pu s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adresser plus tôt aux autorités fiscales et à la commission fiscale, réduisant ainsi considérablement le délai pour le remboursement.</w:t>
      </w:r>
    </w:p>
    <w:p w:rsidR="00546EB7" w:rsidRPr="00583A63" w:rsidRDefault="00546EB7" w:rsidP="00583A63">
      <w:pPr>
        <w:pStyle w:val="ECHRPara"/>
        <w:rPr>
          <w:lang w:val="fr-FR"/>
        </w:rPr>
      </w:pPr>
      <w:r w:rsidRPr="00583A63">
        <w:rPr>
          <w:lang w:val="fr-FR"/>
        </w:rPr>
        <w:t>23.  Le Gouvernement note que dans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 xml:space="preserve">affaire </w:t>
      </w:r>
      <w:r w:rsidRPr="00583A63">
        <w:rPr>
          <w:i/>
          <w:lang w:val="fr-FR"/>
        </w:rPr>
        <w:t>Buffalo S.r.l. en liquidation</w:t>
      </w:r>
      <w:r w:rsidRPr="00583A63">
        <w:rPr>
          <w:lang w:val="fr-FR"/>
        </w:rPr>
        <w:t>, précitée, où la Cour a conclu à la violation de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article 1 du Protocole n</w:t>
      </w:r>
      <w:r w:rsidR="00270F59" w:rsidRPr="00583A63">
        <w:rPr>
          <w:vertAlign w:val="superscript"/>
          <w:lang w:val="fr-FR"/>
        </w:rPr>
        <w:t>o</w:t>
      </w:r>
      <w:r w:rsidRPr="00583A63">
        <w:rPr>
          <w:lang w:val="fr-FR"/>
        </w:rPr>
        <w:t xml:space="preserve"> 1, il n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avait pas été démontré que le contribuable avait à sa disposition des remèdes efficaces pour obtenir un remboursement plus rapide. Il en va autrement en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espèce, et cet élément permettrait de distinguer la présente affaire de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 xml:space="preserve">affaire </w:t>
      </w:r>
      <w:r w:rsidRPr="00583A63">
        <w:rPr>
          <w:i/>
          <w:lang w:val="fr-FR"/>
        </w:rPr>
        <w:t>Buffalo S.r.l. en liquidation</w:t>
      </w:r>
      <w:r w:rsidRPr="00583A63">
        <w:rPr>
          <w:lang w:val="fr-FR"/>
        </w:rPr>
        <w:t>.</w:t>
      </w:r>
    </w:p>
    <w:p w:rsidR="00546EB7" w:rsidRPr="00583A63" w:rsidRDefault="00546EB7" w:rsidP="00583A63">
      <w:pPr>
        <w:pStyle w:val="ECHRPara"/>
        <w:rPr>
          <w:lang w:val="fr-FR"/>
        </w:rPr>
      </w:pPr>
      <w:bookmarkStart w:id="10" w:name="Gvtrequspasvictimes"/>
      <w:r w:rsidRPr="00583A63">
        <w:rPr>
          <w:lang w:val="fr-FR"/>
        </w:rPr>
        <w:t>24</w:t>
      </w:r>
      <w:bookmarkEnd w:id="10"/>
      <w:r w:rsidRPr="00583A63">
        <w:rPr>
          <w:lang w:val="fr-FR"/>
        </w:rPr>
        <w:t>.  Selon le Gouvernement, la requérante, qui ne s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est pas prévalue en temps utile des recours existants, qui a obtenu le remboursement intégral en juin 2006 et dont les prétentions n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ont pas été contestées par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administration, ne saurait se prétendre « victime » des faits qu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elle dénonce. Par ailleurs, la requérante elle-même a demandé le paiement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une partie de sa créance en obligations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État ; ces obligations peuvent être facilement vendues à tout moment. De lors, la circonstance en question n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aurait causé aucun préjudice à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intéressée.</w:t>
      </w:r>
    </w:p>
    <w:p w:rsidR="00546EB7" w:rsidRPr="00583A63" w:rsidRDefault="00546EB7" w:rsidP="00583A63">
      <w:pPr>
        <w:pStyle w:val="ECHRPara"/>
        <w:rPr>
          <w:lang w:val="fr-FR"/>
        </w:rPr>
      </w:pPr>
      <w:r w:rsidRPr="00583A63">
        <w:rPr>
          <w:lang w:val="fr-FR"/>
        </w:rPr>
        <w:t>25.  </w:t>
      </w:r>
      <w:r w:rsidRPr="00583A63">
        <w:rPr>
          <w:rFonts w:cstheme="minorHAnsi"/>
          <w:lang w:val="fr-FR"/>
        </w:rPr>
        <w:t>À</w:t>
      </w:r>
      <w:r w:rsidRPr="00583A63">
        <w:rPr>
          <w:lang w:val="fr-FR"/>
        </w:rPr>
        <w:t xml:space="preserve"> la lumière de ce qui précède, le Gouvernement considère qu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un juste équilibre a été maintenu entre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intérêt général à assurer le paiement des impôts et les exigences du droit au respect des biens de la requérante.</w:t>
      </w:r>
    </w:p>
    <w:p w:rsidR="00546EB7" w:rsidRPr="00583A63" w:rsidRDefault="00546EB7" w:rsidP="00583A63">
      <w:pPr>
        <w:pStyle w:val="ECHRHeading2"/>
        <w:rPr>
          <w:lang w:val="fr-FR"/>
        </w:rPr>
      </w:pPr>
      <w:r w:rsidRPr="00583A63">
        <w:rPr>
          <w:lang w:val="fr-FR"/>
        </w:rPr>
        <w:t>B.  Appréciation de la Cour</w:t>
      </w:r>
    </w:p>
    <w:p w:rsidR="00546EB7" w:rsidRPr="00583A63" w:rsidRDefault="00546EB7" w:rsidP="00583A63">
      <w:pPr>
        <w:pStyle w:val="ECHRPara"/>
        <w:rPr>
          <w:lang w:val="fr-FR"/>
        </w:rPr>
      </w:pPr>
      <w:r w:rsidRPr="00583A63">
        <w:rPr>
          <w:lang w:val="fr-FR"/>
        </w:rPr>
        <w:t>26.  Dans les circonstances particulières de la présente affaire, la Cour n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estime pas nécessaire de se pencher sur la question de savoir si, comme le veut le Gouvernement (paragraphe 24 ci-dessus), la requérante ne saurait se prétendre « victime », au sens de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 xml:space="preserve">article 34 de la Convention, des faits </w:t>
      </w:r>
      <w:r w:rsidRPr="00583A63">
        <w:rPr>
          <w:lang w:val="fr-FR"/>
        </w:rPr>
        <w:lastRenderedPageBreak/>
        <w:t>qu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elle dénonce, la requête étant de toute manière irrecevable pour les raisons suivantes.</w:t>
      </w:r>
    </w:p>
    <w:p w:rsidR="00546EB7" w:rsidRPr="00583A63" w:rsidRDefault="00546EB7" w:rsidP="00583A63">
      <w:pPr>
        <w:pStyle w:val="ECHRPara"/>
        <w:rPr>
          <w:lang w:val="fr-FR"/>
        </w:rPr>
      </w:pPr>
      <w:r w:rsidRPr="00583A63">
        <w:rPr>
          <w:lang w:val="fr-FR"/>
        </w:rPr>
        <w:t>27.  La Cour observe qu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en droit italien,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administration est tenue de procéder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office au remboursement des crédits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impôts sur le revenu, après réception de la déclaration des revenus, qui vaut demande de remboursement (paragraphe 13 ci-dessus). Même si aucun délai de rigueur n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est prévu pour le remboursement, dans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 xml:space="preserve">affaire </w:t>
      </w:r>
      <w:r w:rsidRPr="00583A63">
        <w:rPr>
          <w:i/>
          <w:lang w:val="fr-FR"/>
        </w:rPr>
        <w:t>Buffalo S.r.l. en liquidation</w:t>
      </w:r>
      <w:r w:rsidRPr="00583A63">
        <w:rPr>
          <w:lang w:val="fr-FR"/>
        </w:rPr>
        <w:t xml:space="preserve"> (précité, §§ 28-29), cette circonstance a amené la Cour à estimer que pendant toute la période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attente du remboursement du crédit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impôt, le contribuable était titulaire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un intérêt patrimonial reconnu en droit italien, et donc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un « bien » au sens de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article 1 du Protocole n</w:t>
      </w:r>
      <w:r w:rsidR="00270F59" w:rsidRPr="00583A63">
        <w:rPr>
          <w:vertAlign w:val="superscript"/>
          <w:lang w:val="fr-FR"/>
        </w:rPr>
        <w:t>o</w:t>
      </w:r>
      <w:r w:rsidRPr="00583A63">
        <w:rPr>
          <w:lang w:val="fr-FR"/>
        </w:rPr>
        <w:t xml:space="preserve"> 1 à la Convention. Cette disposition étant dès lors applicable, la Cour a considéré que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ingérence constituée par le retard dans le remboursement litigieux relevait de la première phrase du premier alinéa de l</w:t>
      </w:r>
      <w:r w:rsidR="00583A63" w:rsidRPr="00583A63">
        <w:rPr>
          <w:lang w:val="fr-FR"/>
        </w:rPr>
        <w:t>’</w:t>
      </w:r>
      <w:r w:rsidR="005849DD" w:rsidRPr="00583A63">
        <w:rPr>
          <w:lang w:val="fr-FR"/>
        </w:rPr>
        <w:t>article 1 du Protocole </w:t>
      </w:r>
      <w:r w:rsidRPr="00583A63">
        <w:rPr>
          <w:lang w:val="fr-FR"/>
        </w:rPr>
        <w:t>n</w:t>
      </w:r>
      <w:r w:rsidR="00270F59" w:rsidRPr="00583A63">
        <w:rPr>
          <w:vertAlign w:val="superscript"/>
          <w:lang w:val="fr-FR"/>
        </w:rPr>
        <w:t>o</w:t>
      </w:r>
      <w:r w:rsidRPr="00583A63">
        <w:rPr>
          <w:lang w:val="fr-FR"/>
        </w:rPr>
        <w:t xml:space="preserve"> 1, qui énonce, de manière générale, le principe du respect des biens (</w:t>
      </w:r>
      <w:r w:rsidRPr="00583A63">
        <w:rPr>
          <w:i/>
          <w:lang w:val="fr-FR"/>
        </w:rPr>
        <w:t>Buffalo S.r.l. en liquidation</w:t>
      </w:r>
      <w:r w:rsidRPr="00583A63">
        <w:rPr>
          <w:lang w:val="fr-FR"/>
        </w:rPr>
        <w:t>, précité, §§ 30-31). La Cour ne voit aucune raison de s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écarter de ces constats en la présente affaire.</w:t>
      </w:r>
    </w:p>
    <w:p w:rsidR="00546EB7" w:rsidRPr="00583A63" w:rsidRDefault="00546EB7" w:rsidP="00583A63">
      <w:pPr>
        <w:pStyle w:val="ECHRPara"/>
        <w:rPr>
          <w:lang w:val="fr-FR"/>
        </w:rPr>
      </w:pPr>
      <w:r w:rsidRPr="00583A63">
        <w:rPr>
          <w:lang w:val="fr-FR"/>
        </w:rPr>
        <w:t>28.  La Cour rappelle de surcroit que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imposition fiscale constitue en principe une ingérence dans le droit garanti par le premier alinéa de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article 1 du Protocole n</w:t>
      </w:r>
      <w:r w:rsidR="00270F59" w:rsidRPr="00583A63">
        <w:rPr>
          <w:vertAlign w:val="superscript"/>
          <w:lang w:val="fr-FR"/>
        </w:rPr>
        <w:t>o</w:t>
      </w:r>
      <w:r w:rsidRPr="00583A63">
        <w:rPr>
          <w:lang w:val="fr-FR"/>
        </w:rPr>
        <w:t xml:space="preserve"> 1, et que cette ingérence se justifie, conformément au deuxième alinéa de cet article, qui prévoit expressément une exception pour ce qui est du paiement des impôts ou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autres contributions (</w:t>
      </w:r>
      <w:r w:rsidR="003A0978" w:rsidRPr="00583A63">
        <w:rPr>
          <w:i/>
          <w:lang w:val="fr-FR"/>
        </w:rPr>
        <w:t>Di </w:t>
      </w:r>
      <w:r w:rsidRPr="00583A63">
        <w:rPr>
          <w:i/>
          <w:lang w:val="fr-FR"/>
        </w:rPr>
        <w:t>Belmonte c.</w:t>
      </w:r>
      <w:r w:rsidR="005849DD" w:rsidRPr="00583A63">
        <w:rPr>
          <w:i/>
          <w:lang w:val="fr-FR"/>
        </w:rPr>
        <w:t xml:space="preserve"> </w:t>
      </w:r>
      <w:r w:rsidRPr="00583A63">
        <w:rPr>
          <w:i/>
          <w:lang w:val="fr-FR"/>
        </w:rPr>
        <w:t>Italie (n</w:t>
      </w:r>
      <w:r w:rsidRPr="00583A63">
        <w:rPr>
          <w:i/>
          <w:vertAlign w:val="superscript"/>
          <w:lang w:val="fr-FR"/>
        </w:rPr>
        <w:t>o</w:t>
      </w:r>
      <w:r w:rsidR="005849DD" w:rsidRPr="00583A63">
        <w:rPr>
          <w:i/>
          <w:lang w:val="fr-FR"/>
        </w:rPr>
        <w:t xml:space="preserve"> </w:t>
      </w:r>
      <w:r w:rsidRPr="00583A63">
        <w:rPr>
          <w:i/>
          <w:lang w:val="fr-FR"/>
        </w:rPr>
        <w:t>2)</w:t>
      </w:r>
      <w:r w:rsidRPr="00583A63">
        <w:rPr>
          <w:lang w:val="fr-FR"/>
        </w:rPr>
        <w:t xml:space="preserve"> (déc.), n</w:t>
      </w:r>
      <w:r w:rsidR="00270F59" w:rsidRPr="00583A63">
        <w:rPr>
          <w:vertAlign w:val="superscript"/>
          <w:lang w:val="fr-FR"/>
        </w:rPr>
        <w:t>o</w:t>
      </w:r>
      <w:r w:rsidRPr="00583A63">
        <w:rPr>
          <w:lang w:val="fr-FR"/>
        </w:rPr>
        <w:t xml:space="preserve"> 72665/01, 3 juin 2004). La matière fiscale n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échappe pas pour autant à tout contrôle de la Cour, puisqu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elle doit vérifier si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 xml:space="preserve">article 1 du Protocole </w:t>
      </w:r>
      <w:r w:rsidRPr="00583A63">
        <w:rPr>
          <w:color w:val="000000"/>
          <w:lang w:val="fr-FR"/>
        </w:rPr>
        <w:t>n</w:t>
      </w:r>
      <w:r w:rsidR="00270F59" w:rsidRPr="00583A63">
        <w:rPr>
          <w:color w:val="000000"/>
          <w:vertAlign w:val="superscript"/>
          <w:lang w:val="fr-FR"/>
        </w:rPr>
        <w:t>o</w:t>
      </w:r>
      <w:r w:rsidRPr="00583A63">
        <w:rPr>
          <w:lang w:val="fr-FR"/>
        </w:rPr>
        <w:t xml:space="preserve"> 1 a fait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objet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une application correcte (</w:t>
      </w:r>
      <w:r w:rsidRPr="00583A63">
        <w:rPr>
          <w:i/>
          <w:lang w:val="fr-FR"/>
        </w:rPr>
        <w:t>Di Belmonte c.</w:t>
      </w:r>
      <w:r w:rsidR="005849DD" w:rsidRPr="00583A63">
        <w:rPr>
          <w:i/>
          <w:lang w:val="fr-FR"/>
        </w:rPr>
        <w:t xml:space="preserve"> </w:t>
      </w:r>
      <w:r w:rsidRPr="00583A63">
        <w:rPr>
          <w:i/>
          <w:lang w:val="fr-FR"/>
        </w:rPr>
        <w:t>Italie (n</w:t>
      </w:r>
      <w:r w:rsidRPr="00583A63">
        <w:rPr>
          <w:i/>
          <w:vertAlign w:val="superscript"/>
          <w:lang w:val="fr-FR"/>
        </w:rPr>
        <w:t>o</w:t>
      </w:r>
      <w:r w:rsidR="005849DD" w:rsidRPr="00583A63">
        <w:rPr>
          <w:i/>
          <w:lang w:val="fr-FR"/>
        </w:rPr>
        <w:t xml:space="preserve"> </w:t>
      </w:r>
      <w:r w:rsidRPr="00583A63">
        <w:rPr>
          <w:i/>
          <w:lang w:val="fr-FR"/>
        </w:rPr>
        <w:t>1)</w:t>
      </w:r>
      <w:r w:rsidRPr="00583A63">
        <w:rPr>
          <w:lang w:val="fr-FR"/>
        </w:rPr>
        <w:t>, n</w:t>
      </w:r>
      <w:r w:rsidR="00270F59" w:rsidRPr="00583A63">
        <w:rPr>
          <w:vertAlign w:val="superscript"/>
          <w:lang w:val="fr-FR"/>
        </w:rPr>
        <w:t>o</w:t>
      </w:r>
      <w:r w:rsidRPr="00583A63">
        <w:rPr>
          <w:vertAlign w:val="superscript"/>
          <w:lang w:val="fr-FR"/>
        </w:rPr>
        <w:t xml:space="preserve"> </w:t>
      </w:r>
      <w:r w:rsidRPr="00583A63">
        <w:rPr>
          <w:lang w:val="fr-FR"/>
        </w:rPr>
        <w:t>72638/01, § 39, 16 mars 2010). Ceci est particulièrement vrai lorsqu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il s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agit, comme en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espèce, du remboursement de crédits de la part de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État (</w:t>
      </w:r>
      <w:r w:rsidRPr="00583A63">
        <w:rPr>
          <w:i/>
          <w:lang w:val="fr-FR"/>
        </w:rPr>
        <w:t>Buffalo S.r.l. en liquidation</w:t>
      </w:r>
      <w:r w:rsidRPr="00583A63">
        <w:rPr>
          <w:lang w:val="fr-FR"/>
        </w:rPr>
        <w:t>, précité, § 32).</w:t>
      </w:r>
    </w:p>
    <w:p w:rsidR="00546EB7" w:rsidRPr="00583A63" w:rsidRDefault="00546EB7" w:rsidP="00583A63">
      <w:pPr>
        <w:pStyle w:val="ECHRPara"/>
        <w:rPr>
          <w:lang w:val="fr-FR"/>
        </w:rPr>
      </w:pPr>
      <w:r w:rsidRPr="00583A63">
        <w:rPr>
          <w:lang w:val="fr-FR"/>
        </w:rPr>
        <w:t>29.  En particulier, la Cour doit déterminer si un juste équilibre a été maintenu entre les exigences de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intérêt général et la sauvegarde des droits fondamentaux de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individu (</w:t>
      </w:r>
      <w:r w:rsidRPr="00583A63">
        <w:rPr>
          <w:i/>
          <w:lang w:val="fr-FR"/>
        </w:rPr>
        <w:t>Air Canada c. Royaume-Uni</w:t>
      </w:r>
      <w:r w:rsidRPr="00583A63">
        <w:rPr>
          <w:lang w:val="fr-FR"/>
        </w:rPr>
        <w:t>, 5 mai 1995, § 36, série A n</w:t>
      </w:r>
      <w:r w:rsidRPr="00583A63">
        <w:rPr>
          <w:vertAlign w:val="superscript"/>
          <w:lang w:val="fr-FR"/>
        </w:rPr>
        <w:t>o</w:t>
      </w:r>
      <w:r w:rsidR="005849DD" w:rsidRPr="00583A63">
        <w:rPr>
          <w:lang w:val="fr-FR"/>
        </w:rPr>
        <w:t xml:space="preserve"> </w:t>
      </w:r>
      <w:r w:rsidRPr="00583A63">
        <w:rPr>
          <w:lang w:val="fr-FR"/>
        </w:rPr>
        <w:t>316-A</w:t>
      </w:r>
      <w:r w:rsidR="005849DD" w:rsidRPr="00583A63">
        <w:rPr>
          <w:lang w:val="fr-FR"/>
        </w:rPr>
        <w:t> </w:t>
      </w:r>
      <w:r w:rsidRPr="00583A63">
        <w:rPr>
          <w:lang w:val="fr-FR"/>
        </w:rPr>
        <w:t>;</w:t>
      </w:r>
      <w:r w:rsidR="005849DD" w:rsidRPr="00583A63">
        <w:rPr>
          <w:i/>
          <w:lang w:val="fr-FR"/>
        </w:rPr>
        <w:t xml:space="preserve"> </w:t>
      </w:r>
      <w:r w:rsidRPr="00583A63">
        <w:rPr>
          <w:i/>
          <w:lang w:val="fr-FR"/>
        </w:rPr>
        <w:t>Beyeler c. Italie</w:t>
      </w:r>
      <w:r w:rsidRPr="00583A63">
        <w:rPr>
          <w:lang w:val="fr-FR"/>
        </w:rPr>
        <w:t xml:space="preserve"> [GC], n</w:t>
      </w:r>
      <w:r w:rsidRPr="00583A63">
        <w:rPr>
          <w:vertAlign w:val="superscript"/>
          <w:lang w:val="fr-FR"/>
        </w:rPr>
        <w:t>o</w:t>
      </w:r>
      <w:r w:rsidRPr="00583A63">
        <w:rPr>
          <w:lang w:val="fr-FR"/>
        </w:rPr>
        <w:t xml:space="preserve"> 33202/96, § 107, CEDH</w:t>
      </w:r>
      <w:r w:rsidR="00583A63" w:rsidRPr="00583A63">
        <w:rPr>
          <w:lang w:val="fr-FR"/>
        </w:rPr>
        <w:t> </w:t>
      </w:r>
      <w:r w:rsidRPr="00583A63">
        <w:rPr>
          <w:lang w:val="fr-FR"/>
        </w:rPr>
        <w:t>2000</w:t>
      </w:r>
      <w:r w:rsidR="00583A63" w:rsidRPr="00583A63">
        <w:rPr>
          <w:lang w:val="fr-FR"/>
        </w:rPr>
        <w:noBreakHyphen/>
      </w:r>
      <w:r w:rsidRPr="00583A63">
        <w:rPr>
          <w:lang w:val="fr-FR"/>
        </w:rPr>
        <w:t xml:space="preserve">I ; et </w:t>
      </w:r>
      <w:r w:rsidRPr="00583A63">
        <w:rPr>
          <w:i/>
          <w:lang w:val="fr-FR"/>
        </w:rPr>
        <w:t>Contessa et autres c. Italie</w:t>
      </w:r>
      <w:r w:rsidRPr="00583A63">
        <w:rPr>
          <w:lang w:val="fr-FR"/>
        </w:rPr>
        <w:t xml:space="preserve"> (déc.), n</w:t>
      </w:r>
      <w:r w:rsidR="00270F59" w:rsidRPr="00583A63">
        <w:rPr>
          <w:vertAlign w:val="superscript"/>
          <w:lang w:val="fr-FR"/>
        </w:rPr>
        <w:t>o</w:t>
      </w:r>
      <w:r w:rsidRPr="00583A63">
        <w:rPr>
          <w:lang w:val="fr-FR"/>
        </w:rPr>
        <w:t xml:space="preserve"> 11004/05, § 28, 17</w:t>
      </w:r>
      <w:r w:rsidR="00583A63" w:rsidRPr="00583A63">
        <w:rPr>
          <w:lang w:val="fr-FR"/>
        </w:rPr>
        <w:t> </w:t>
      </w:r>
      <w:r w:rsidRPr="00583A63">
        <w:rPr>
          <w:lang w:val="fr-FR"/>
        </w:rPr>
        <w:t>septembre 2013). Ce juste équilibre est rompu si la personne concernée doit supporter une charge excessive et exorbitante (</w:t>
      </w:r>
      <w:r w:rsidRPr="00583A63">
        <w:rPr>
          <w:i/>
          <w:lang w:val="fr-FR"/>
        </w:rPr>
        <w:t>Sporrong et Lönnroth c.</w:t>
      </w:r>
      <w:r w:rsidR="00583A63" w:rsidRPr="00583A63">
        <w:rPr>
          <w:i/>
          <w:lang w:val="fr-FR"/>
        </w:rPr>
        <w:t> </w:t>
      </w:r>
      <w:r w:rsidRPr="00583A63">
        <w:rPr>
          <w:i/>
          <w:lang w:val="fr-FR"/>
        </w:rPr>
        <w:t>Suède</w:t>
      </w:r>
      <w:r w:rsidRPr="00583A63">
        <w:rPr>
          <w:lang w:val="fr-FR"/>
        </w:rPr>
        <w:t>, 23 septembre 1982, §§ 69-74, série A n</w:t>
      </w:r>
      <w:r w:rsidR="00270F59" w:rsidRPr="00583A63">
        <w:rPr>
          <w:vertAlign w:val="superscript"/>
          <w:lang w:val="fr-FR"/>
        </w:rPr>
        <w:t>o</w:t>
      </w:r>
      <w:r w:rsidRPr="00583A63">
        <w:rPr>
          <w:lang w:val="fr-FR"/>
        </w:rPr>
        <w:t xml:space="preserve"> 52 ; </w:t>
      </w:r>
      <w:r w:rsidRPr="00583A63">
        <w:rPr>
          <w:i/>
          <w:lang w:val="fr-FR"/>
        </w:rPr>
        <w:t>Maggio et autres c.</w:t>
      </w:r>
      <w:r w:rsidR="00583A63" w:rsidRPr="00583A63">
        <w:rPr>
          <w:i/>
          <w:lang w:val="fr-FR"/>
        </w:rPr>
        <w:t> </w:t>
      </w:r>
      <w:r w:rsidRPr="00583A63">
        <w:rPr>
          <w:i/>
          <w:lang w:val="fr-FR"/>
        </w:rPr>
        <w:t>Italie</w:t>
      </w:r>
      <w:r w:rsidRPr="00583A63">
        <w:rPr>
          <w:lang w:val="fr-FR"/>
        </w:rPr>
        <w:t>, n</w:t>
      </w:r>
      <w:r w:rsidRPr="00583A63">
        <w:rPr>
          <w:vertAlign w:val="superscript"/>
          <w:lang w:val="fr-FR"/>
        </w:rPr>
        <w:t>os </w:t>
      </w:r>
      <w:r w:rsidRPr="00583A63">
        <w:rPr>
          <w:lang w:val="fr-FR"/>
        </w:rPr>
        <w:t>46286/09, 52851/08, 53727/08, 54486/08 et 56001/08, § 57, 31</w:t>
      </w:r>
      <w:r w:rsidR="00583A63" w:rsidRPr="00583A63">
        <w:rPr>
          <w:lang w:val="fr-FR"/>
        </w:rPr>
        <w:t> </w:t>
      </w:r>
      <w:r w:rsidRPr="00583A63">
        <w:rPr>
          <w:lang w:val="fr-FR"/>
        </w:rPr>
        <w:t xml:space="preserve">mai 2011 ; et </w:t>
      </w:r>
      <w:r w:rsidRPr="00583A63">
        <w:rPr>
          <w:i/>
          <w:lang w:val="fr-FR"/>
        </w:rPr>
        <w:t>Grande Stevens et autres c. Italie</w:t>
      </w:r>
      <w:r w:rsidRPr="00583A63">
        <w:rPr>
          <w:lang w:val="fr-FR"/>
        </w:rPr>
        <w:t>, n</w:t>
      </w:r>
      <w:r w:rsidRPr="00583A63">
        <w:rPr>
          <w:vertAlign w:val="superscript"/>
          <w:lang w:val="fr-FR"/>
        </w:rPr>
        <w:t>os</w:t>
      </w:r>
      <w:r w:rsidRPr="00583A63">
        <w:rPr>
          <w:lang w:val="fr-FR"/>
        </w:rPr>
        <w:t xml:space="preserve"> 18640/10, 18647/10, 18663/10, 18668/10 et 18698/10, § 196, 4 mars 2014). Notamment, l´obligation financière née du prélèvement d´impôts ou de contributions ne doit pas porter fondamentalement atteinte à la situation financière de la personne ou de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entité en cause (</w:t>
      </w:r>
      <w:r w:rsidRPr="00583A63">
        <w:rPr>
          <w:i/>
          <w:lang w:val="fr-FR"/>
        </w:rPr>
        <w:t>Di Belmonte (n</w:t>
      </w:r>
      <w:r w:rsidRPr="00583A63">
        <w:rPr>
          <w:i/>
          <w:vertAlign w:val="superscript"/>
          <w:lang w:val="fr-FR"/>
        </w:rPr>
        <w:t>o</w:t>
      </w:r>
      <w:r w:rsidR="005849DD" w:rsidRPr="00583A63">
        <w:rPr>
          <w:i/>
          <w:lang w:val="fr-FR"/>
        </w:rPr>
        <w:t xml:space="preserve"> </w:t>
      </w:r>
      <w:r w:rsidRPr="00583A63">
        <w:rPr>
          <w:i/>
          <w:lang w:val="fr-FR"/>
        </w:rPr>
        <w:t>1)</w:t>
      </w:r>
      <w:r w:rsidRPr="00583A63">
        <w:rPr>
          <w:lang w:val="fr-FR"/>
        </w:rPr>
        <w:t>, précite, § 40, et</w:t>
      </w:r>
      <w:r w:rsidR="00270F59" w:rsidRPr="00583A63">
        <w:rPr>
          <w:lang w:val="fr-FR"/>
        </w:rPr>
        <w:t xml:space="preserve"> </w:t>
      </w:r>
      <w:r w:rsidRPr="00583A63">
        <w:rPr>
          <w:i/>
          <w:lang w:val="fr-FR"/>
        </w:rPr>
        <w:t>Buffalo S.r.l. en liquidation</w:t>
      </w:r>
      <w:r w:rsidRPr="00583A63">
        <w:rPr>
          <w:lang w:val="fr-FR"/>
        </w:rPr>
        <w:t xml:space="preserve">, précité, § 32). À cet égard, entrent en ligne de </w:t>
      </w:r>
      <w:r w:rsidRPr="00583A63">
        <w:rPr>
          <w:lang w:val="fr-FR"/>
        </w:rPr>
        <w:lastRenderedPageBreak/>
        <w:t>comptes les modalités de remboursement prévues par la législation nationale et la manière dont elles ont été appliquées dans le cas de la requérante (</w:t>
      </w:r>
      <w:r w:rsidRPr="00583A63">
        <w:rPr>
          <w:i/>
          <w:lang w:val="fr-FR"/>
        </w:rPr>
        <w:t>Buffalo S.r.l. en liquidation</w:t>
      </w:r>
      <w:r w:rsidRPr="00583A63">
        <w:rPr>
          <w:lang w:val="fr-FR"/>
        </w:rPr>
        <w:t xml:space="preserve">, précité, § 36 ; voir également, </w:t>
      </w:r>
      <w:r w:rsidRPr="00583A63">
        <w:rPr>
          <w:i/>
          <w:lang w:val="fr-FR"/>
        </w:rPr>
        <w:t>mutatis mutandis</w:t>
      </w:r>
      <w:r w:rsidRPr="00583A63">
        <w:rPr>
          <w:lang w:val="fr-FR"/>
        </w:rPr>
        <w:t xml:space="preserve">, </w:t>
      </w:r>
      <w:r w:rsidRPr="00583A63">
        <w:rPr>
          <w:i/>
          <w:lang w:val="fr-FR"/>
        </w:rPr>
        <w:t>Aka c. Turquie</w:t>
      </w:r>
      <w:r w:rsidRPr="00583A63">
        <w:rPr>
          <w:lang w:val="fr-FR"/>
        </w:rPr>
        <w:t xml:space="preserve">, 23 septembre 1998, § 45, </w:t>
      </w:r>
      <w:r w:rsidRPr="00583A63">
        <w:rPr>
          <w:i/>
          <w:lang w:val="fr-FR"/>
        </w:rPr>
        <w:t xml:space="preserve">Recueil des arrêts et décisions </w:t>
      </w:r>
      <w:r w:rsidRPr="00583A63">
        <w:rPr>
          <w:lang w:val="fr-FR"/>
        </w:rPr>
        <w:t>1998-VI).</w:t>
      </w:r>
    </w:p>
    <w:p w:rsidR="00546EB7" w:rsidRPr="00583A63" w:rsidRDefault="00546EB7" w:rsidP="00583A63">
      <w:pPr>
        <w:pStyle w:val="ECHRPara"/>
        <w:rPr>
          <w:lang w:val="fr-FR"/>
        </w:rPr>
      </w:pPr>
      <w:r w:rsidRPr="00583A63">
        <w:rPr>
          <w:lang w:val="fr-FR"/>
        </w:rPr>
        <w:t>30.  La Cour réitère que le système de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acompte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impôt repose principalement sur le souci de combattre de façon efficace le phénomène de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évasion fiscale (</w:t>
      </w:r>
      <w:r w:rsidRPr="00583A63">
        <w:rPr>
          <w:i/>
          <w:lang w:val="fr-FR"/>
        </w:rPr>
        <w:t>Buffalo S.r.l. en liquidation</w:t>
      </w:r>
      <w:r w:rsidRPr="00583A63">
        <w:rPr>
          <w:lang w:val="fr-FR"/>
        </w:rPr>
        <w:t>, précité, § 35). Il poursuit donc un but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intérêt général. Par ailleurs, les États disposent en matière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impôts ou contributions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un large pouvoir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appréciation (</w:t>
      </w:r>
      <w:r w:rsidRPr="00583A63">
        <w:rPr>
          <w:i/>
          <w:lang w:val="fr-FR"/>
        </w:rPr>
        <w:t>Gasus Dosier et Fördertechnik Gmbh c. Pays-Bas,</w:t>
      </w:r>
      <w:r w:rsidRPr="00583A63">
        <w:rPr>
          <w:lang w:val="fr-FR"/>
        </w:rPr>
        <w:t xml:space="preserve"> 23 février 1995, § 60, série A n</w:t>
      </w:r>
      <w:r w:rsidR="00270F59" w:rsidRPr="00583A63">
        <w:rPr>
          <w:vertAlign w:val="superscript"/>
          <w:lang w:val="fr-FR"/>
        </w:rPr>
        <w:t>o</w:t>
      </w:r>
      <w:r w:rsidR="004E25DF" w:rsidRPr="00583A63">
        <w:rPr>
          <w:lang w:val="fr-FR"/>
        </w:rPr>
        <w:t> 306</w:t>
      </w:r>
      <w:r w:rsidR="004E25DF" w:rsidRPr="00583A63">
        <w:rPr>
          <w:lang w:val="fr-FR"/>
        </w:rPr>
        <w:noBreakHyphen/>
      </w:r>
      <w:r w:rsidRPr="00583A63">
        <w:rPr>
          <w:lang w:val="fr-FR"/>
        </w:rPr>
        <w:t xml:space="preserve">B, et </w:t>
      </w:r>
      <w:r w:rsidRPr="00583A63">
        <w:rPr>
          <w:i/>
          <w:lang w:val="fr-FR"/>
        </w:rPr>
        <w:t>The National &amp; Provincial Building Society, the Leeds Permanent Building Society and the Yorkshire Building Society c. Royaume-Uni</w:t>
      </w:r>
      <w:r w:rsidRPr="00583A63">
        <w:rPr>
          <w:lang w:val="fr-FR"/>
        </w:rPr>
        <w:t>, 23</w:t>
      </w:r>
      <w:r w:rsidR="00AE2F7F" w:rsidRPr="00583A63">
        <w:rPr>
          <w:lang w:val="fr-FR"/>
        </w:rPr>
        <w:t xml:space="preserve"> </w:t>
      </w:r>
      <w:r w:rsidRPr="00583A63">
        <w:rPr>
          <w:lang w:val="fr-FR"/>
        </w:rPr>
        <w:t xml:space="preserve">octobre 1997, §§ 80-82, </w:t>
      </w:r>
      <w:r w:rsidRPr="00583A63">
        <w:rPr>
          <w:i/>
          <w:lang w:val="fr-FR"/>
        </w:rPr>
        <w:t xml:space="preserve">Recueil </w:t>
      </w:r>
      <w:r w:rsidRPr="00583A63">
        <w:rPr>
          <w:lang w:val="fr-FR"/>
        </w:rPr>
        <w:t>1997-VII), et la Cour estime que le fait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exiger, dans certaines circonstances, des acomptes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impôts s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inscrit dans cette marge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appréciation. Par conséquent, il ne saurait être considéré en tant que tel comme arbitraire.</w:t>
      </w:r>
    </w:p>
    <w:p w:rsidR="00546EB7" w:rsidRPr="00583A63" w:rsidRDefault="00546EB7" w:rsidP="00583A63">
      <w:pPr>
        <w:pStyle w:val="ECHRPara"/>
        <w:rPr>
          <w:lang w:val="fr-FR"/>
        </w:rPr>
      </w:pPr>
      <w:r w:rsidRPr="00583A63">
        <w:rPr>
          <w:lang w:val="fr-FR"/>
        </w:rPr>
        <w:t>31.  Il n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en demeure pas moins que dans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 xml:space="preserve">affaire </w:t>
      </w:r>
      <w:r w:rsidRPr="00583A63">
        <w:rPr>
          <w:i/>
          <w:lang w:val="fr-FR"/>
        </w:rPr>
        <w:t>Buffalo S.r.l. en liquidation</w:t>
      </w:r>
      <w:r w:rsidRPr="00583A63">
        <w:rPr>
          <w:lang w:val="fr-FR"/>
        </w:rPr>
        <w:t xml:space="preserve"> (précité, §§ 36-40), les effets de ce système ont été jugés contraires à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article 1 du Protocole n</w:t>
      </w:r>
      <w:r w:rsidR="00270F59" w:rsidRPr="00583A63">
        <w:rPr>
          <w:vertAlign w:val="superscript"/>
          <w:lang w:val="fr-FR"/>
        </w:rPr>
        <w:t>o</w:t>
      </w:r>
      <w:r w:rsidRPr="00583A63">
        <w:rPr>
          <w:lang w:val="fr-FR"/>
        </w:rPr>
        <w:t xml:space="preserve"> 1, et ce en considération notamment de la durée des remboursements (allant de cinq à dix ans), du fait que des intérêts simples, et non des intérêts composés, avaient été octroyés pour compenser ces retards, de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impact considérable que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 xml:space="preserve">indisponibilité prolongée des sommes litigieuses avait eu sur la situation financière de la société </w:t>
      </w:r>
      <w:r w:rsidRPr="00583A63">
        <w:rPr>
          <w:i/>
          <w:lang w:val="fr-FR"/>
        </w:rPr>
        <w:t>Buffalo</w:t>
      </w:r>
      <w:r w:rsidRPr="00583A63">
        <w:rPr>
          <w:lang w:val="fr-FR"/>
        </w:rPr>
        <w:t>, et de la circonstance que cette dernière ne disposait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aucun recours efficace susceptible de remédier à la durée de son attente et à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incertitude qui en découlait quant au moment du paiement de ses créances.</w:t>
      </w:r>
    </w:p>
    <w:p w:rsidR="00546EB7" w:rsidRPr="00583A63" w:rsidRDefault="00546EB7" w:rsidP="00583A63">
      <w:pPr>
        <w:pStyle w:val="ECHRPara"/>
        <w:rPr>
          <w:lang w:val="fr-FR"/>
        </w:rPr>
      </w:pPr>
      <w:r w:rsidRPr="00583A63">
        <w:rPr>
          <w:lang w:val="fr-FR"/>
        </w:rPr>
        <w:t>32.  En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espèce, la plupart des retards dénoncés par la requérante s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avèrent plus importants que ceux que la Cour a constatés dans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affaire</w:t>
      </w:r>
      <w:r w:rsidR="00270F59" w:rsidRPr="00583A63">
        <w:rPr>
          <w:lang w:val="fr-FR"/>
        </w:rPr>
        <w:t xml:space="preserve"> </w:t>
      </w:r>
      <w:r w:rsidRPr="00583A63">
        <w:rPr>
          <w:i/>
          <w:lang w:val="fr-FR"/>
        </w:rPr>
        <w:t>Buffalo S.r.l. en liquidation</w:t>
      </w:r>
      <w:r w:rsidRPr="00583A63">
        <w:rPr>
          <w:lang w:val="fr-FR"/>
        </w:rPr>
        <w:t>. En effet, les premières demandes de remboursement de crédits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impôts ont été formulées par la requérante dans sa déclaration des revenus relative à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année 1989 (paragraphe 4 ci-dessus), alors que la satisfaction intégrale de toutes ses prétentions à ce titre n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 eu lieu qu´en juin 2006 (paragraphe 11 ci-dessus). Toutefois, aux yeux de la Cour, des différences significatives existent entre la présente affaire et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 xml:space="preserve">affaire </w:t>
      </w:r>
      <w:r w:rsidRPr="00583A63">
        <w:rPr>
          <w:i/>
          <w:lang w:val="fr-FR"/>
        </w:rPr>
        <w:t>Buffalo S.r.l. en liquidation</w:t>
      </w:r>
      <w:r w:rsidRPr="00583A63">
        <w:rPr>
          <w:lang w:val="fr-FR"/>
        </w:rPr>
        <w:t>. En premier lieu, la requérante n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 pas démontré que les retards dans le remboursement de ses crédits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impôts ont eu des répercussions négatives sur sa situation financière. En effet,</w:t>
      </w:r>
      <w:r w:rsidRPr="00583A63">
        <w:rPr>
          <w:i/>
          <w:lang w:val="fr-FR"/>
        </w:rPr>
        <w:t xml:space="preserve"> </w:t>
      </w:r>
      <w:r w:rsidRPr="00583A63">
        <w:rPr>
          <w:lang w:val="fr-FR"/>
        </w:rPr>
        <w:t>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intéressée s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est bornée à affirmer que les retards dénoncés sont préjudiciables également pour les entreprises financièrement saines, et que ses possibilités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investir et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avoir accès à des prêts bancaires ont été affectées (paragraphe 18 ci-dessus). Elle n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 cependant apporté aucune précision quant aux investissements et aux prêts en question ou quant au préjudice qu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 xml:space="preserve">elle aurait subi </w:t>
      </w:r>
      <w:r w:rsidRPr="00583A63">
        <w:rPr>
          <w:i/>
          <w:lang w:val="fr-FR"/>
        </w:rPr>
        <w:t>in concreto</w:t>
      </w:r>
      <w:r w:rsidRPr="00583A63">
        <w:rPr>
          <w:lang w:val="fr-FR"/>
        </w:rPr>
        <w:t>.</w:t>
      </w:r>
    </w:p>
    <w:p w:rsidR="00270F59" w:rsidRPr="00583A63" w:rsidRDefault="00546EB7" w:rsidP="00583A63">
      <w:pPr>
        <w:pStyle w:val="ECHRPara"/>
        <w:rPr>
          <w:lang w:val="fr-FR"/>
        </w:rPr>
      </w:pPr>
      <w:r w:rsidRPr="00583A63">
        <w:rPr>
          <w:lang w:val="fr-FR"/>
        </w:rPr>
        <w:lastRenderedPageBreak/>
        <w:t>33.  Deuxièmement, lorsque, le 8 décembre 2014, la requérante a informé la Cour du paiement intégral des sommes reconnues par la commission fiscale provinciale, elle n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 pas allégué que le taux des intérêts qui lui ont été octroyés sur les sommes dues a été insuffisant.</w:t>
      </w:r>
    </w:p>
    <w:p w:rsidR="00546EB7" w:rsidRPr="00583A63" w:rsidRDefault="00546EB7" w:rsidP="00583A63">
      <w:pPr>
        <w:pStyle w:val="ECHRPara"/>
        <w:rPr>
          <w:lang w:val="fr-FR"/>
        </w:rPr>
      </w:pPr>
      <w:r w:rsidRPr="00583A63">
        <w:rPr>
          <w:lang w:val="fr-FR"/>
        </w:rPr>
        <w:t>34.  Ce qui plus est, les circonstances particulières de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espèce démontrent que la requérante avait à sa disposition un recours efficace pour revendiquer son droit au remboursement de ses crédits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impôts, recours dont elle a fait usage avec succès.</w:t>
      </w:r>
    </w:p>
    <w:p w:rsidR="00546EB7" w:rsidRPr="00583A63" w:rsidRDefault="00546EB7" w:rsidP="00583A63">
      <w:pPr>
        <w:pStyle w:val="ECHRPara"/>
        <w:rPr>
          <w:lang w:val="fr-FR"/>
        </w:rPr>
      </w:pPr>
      <w:r w:rsidRPr="00583A63">
        <w:rPr>
          <w:lang w:val="fr-FR"/>
        </w:rPr>
        <w:t>35.  À cet égard, la Cour note que le 13 septembre 2004, la requérante a saisi la commission fiscale provinciale de Brescia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 xml:space="preserve">une demande de paiement (paragraphe 7 ci-dessus). La commission fiscale a tranché le litige moins de cinq mois plus tard, le 4 février 2005, accueillant </w:t>
      </w:r>
      <w:r w:rsidRPr="00583A63">
        <w:rPr>
          <w:i/>
          <w:lang w:val="fr-FR"/>
        </w:rPr>
        <w:t xml:space="preserve">in toto </w:t>
      </w:r>
      <w:r w:rsidRPr="00583A63">
        <w:rPr>
          <w:lang w:val="fr-FR"/>
        </w:rPr>
        <w:t>les prétentions de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intéressée (paragraphe 9 ci-dessus). Ensuite, la requérante a attendu jusqu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au 1</w:t>
      </w:r>
      <w:r w:rsidRPr="00583A63">
        <w:rPr>
          <w:vertAlign w:val="superscript"/>
          <w:lang w:val="fr-FR"/>
        </w:rPr>
        <w:t>er</w:t>
      </w:r>
      <w:r w:rsidRPr="00583A63">
        <w:rPr>
          <w:lang w:val="fr-FR"/>
        </w:rPr>
        <w:t xml:space="preserve"> février 2006 avant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entamer une procédure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exécution envers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administration (paragraphe 10 ci-dessus). Le remboursement intégral des crédits d´impôts litigieux a eu lieu environ cinq mois plus tard, en juin 2006 (paragraphe 11 ci-dessus).</w:t>
      </w:r>
    </w:p>
    <w:p w:rsidR="00270F59" w:rsidRPr="00583A63" w:rsidRDefault="00546EB7" w:rsidP="00583A63">
      <w:pPr>
        <w:pStyle w:val="ECHRPara"/>
        <w:rPr>
          <w:lang w:val="fr-FR"/>
        </w:rPr>
      </w:pPr>
      <w:r w:rsidRPr="00583A63">
        <w:rPr>
          <w:lang w:val="fr-FR"/>
        </w:rPr>
        <w:t>36.  Compte tenu de sa jurisprudence en matière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exécution de décisions de justice définitives (voir, par exemple et parmi beaucoup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 xml:space="preserve">autres, </w:t>
      </w:r>
      <w:r w:rsidRPr="00583A63">
        <w:rPr>
          <w:rFonts w:cstheme="minorHAnsi"/>
          <w:i/>
          <w:lang w:val="fr-FR"/>
        </w:rPr>
        <w:t>Stoyanova c. Bulgarie</w:t>
      </w:r>
      <w:r w:rsidRPr="00583A63">
        <w:rPr>
          <w:rFonts w:cstheme="minorHAnsi"/>
          <w:lang w:val="fr-FR"/>
        </w:rPr>
        <w:t xml:space="preserve"> (déc.), n</w:t>
      </w:r>
      <w:r w:rsidR="00270F59" w:rsidRPr="00583A63">
        <w:rPr>
          <w:rFonts w:cstheme="minorHAnsi"/>
          <w:vertAlign w:val="superscript"/>
          <w:lang w:val="fr-FR"/>
        </w:rPr>
        <w:t>o</w:t>
      </w:r>
      <w:r w:rsidRPr="00583A63">
        <w:rPr>
          <w:rFonts w:cstheme="minorHAnsi"/>
          <w:lang w:val="fr-FR"/>
        </w:rPr>
        <w:t xml:space="preserve"> 25716/05, § 24, 10 mai 2012 ; </w:t>
      </w:r>
      <w:r w:rsidRPr="00583A63">
        <w:rPr>
          <w:rFonts w:cstheme="minorHAnsi"/>
          <w:i/>
          <w:lang w:val="fr-FR"/>
        </w:rPr>
        <w:t>Grishchenko c. Russie</w:t>
      </w:r>
      <w:r w:rsidRPr="00583A63">
        <w:rPr>
          <w:rFonts w:cstheme="minorHAnsi"/>
          <w:lang w:val="fr-FR"/>
        </w:rPr>
        <w:t xml:space="preserve"> (déc.), n</w:t>
      </w:r>
      <w:r w:rsidR="00270F59" w:rsidRPr="00583A63">
        <w:rPr>
          <w:rFonts w:cstheme="minorHAnsi"/>
          <w:vertAlign w:val="superscript"/>
          <w:lang w:val="fr-FR"/>
        </w:rPr>
        <w:t>o</w:t>
      </w:r>
      <w:r w:rsidRPr="00583A63">
        <w:rPr>
          <w:rFonts w:cstheme="minorHAnsi"/>
          <w:lang w:val="fr-FR"/>
        </w:rPr>
        <w:t xml:space="preserve"> 75907/01, 8 juillet 2004 ; </w:t>
      </w:r>
      <w:r w:rsidRPr="00583A63">
        <w:rPr>
          <w:rFonts w:cstheme="minorHAnsi"/>
          <w:i/>
          <w:lang w:val="fr-FR"/>
        </w:rPr>
        <w:t>Presnyakov c.</w:t>
      </w:r>
      <w:r w:rsidR="00AE2F7F" w:rsidRPr="00583A63">
        <w:rPr>
          <w:rFonts w:cstheme="minorHAnsi"/>
          <w:i/>
          <w:lang w:val="fr-FR"/>
        </w:rPr>
        <w:t xml:space="preserve"> </w:t>
      </w:r>
      <w:r w:rsidRPr="00583A63">
        <w:rPr>
          <w:rFonts w:cstheme="minorHAnsi"/>
          <w:i/>
          <w:lang w:val="fr-FR"/>
        </w:rPr>
        <w:t>Russie</w:t>
      </w:r>
      <w:r w:rsidRPr="00583A63">
        <w:rPr>
          <w:rFonts w:cstheme="minorHAnsi"/>
          <w:lang w:val="fr-FR"/>
        </w:rPr>
        <w:t xml:space="preserve"> (déc.), n</w:t>
      </w:r>
      <w:r w:rsidR="00270F59" w:rsidRPr="00583A63">
        <w:rPr>
          <w:rFonts w:cstheme="minorHAnsi"/>
          <w:vertAlign w:val="superscript"/>
          <w:lang w:val="fr-FR"/>
        </w:rPr>
        <w:t>o</w:t>
      </w:r>
      <w:r w:rsidRPr="00583A63">
        <w:rPr>
          <w:rFonts w:cstheme="minorHAnsi"/>
          <w:lang w:val="fr-FR"/>
        </w:rPr>
        <w:t xml:space="preserve"> 41145/02, 10 novembre 2005 ; </w:t>
      </w:r>
      <w:r w:rsidRPr="00583A63">
        <w:rPr>
          <w:rFonts w:cstheme="minorHAnsi"/>
          <w:i/>
          <w:lang w:val="fr-FR"/>
        </w:rPr>
        <w:t>Inozmtsev c. Russie</w:t>
      </w:r>
      <w:r w:rsidRPr="00583A63">
        <w:rPr>
          <w:rFonts w:cstheme="minorHAnsi"/>
          <w:lang w:val="fr-FR"/>
        </w:rPr>
        <w:t xml:space="preserve"> (déc.), n</w:t>
      </w:r>
      <w:r w:rsidR="00270F59" w:rsidRPr="00583A63">
        <w:rPr>
          <w:rFonts w:cstheme="minorHAnsi"/>
          <w:vertAlign w:val="superscript"/>
          <w:lang w:val="fr-FR"/>
        </w:rPr>
        <w:t>o</w:t>
      </w:r>
      <w:r w:rsidR="00AE2F7F" w:rsidRPr="00583A63">
        <w:rPr>
          <w:rFonts w:cstheme="minorHAnsi"/>
          <w:lang w:val="fr-FR"/>
        </w:rPr>
        <w:t xml:space="preserve"> </w:t>
      </w:r>
      <w:r w:rsidRPr="00583A63">
        <w:rPr>
          <w:rFonts w:cstheme="minorHAnsi"/>
          <w:lang w:val="fr-FR"/>
        </w:rPr>
        <w:t xml:space="preserve">874/03, 31 août 2006 ; et </w:t>
      </w:r>
      <w:r w:rsidRPr="00583A63">
        <w:rPr>
          <w:rFonts w:cstheme="minorHAnsi"/>
          <w:i/>
          <w:lang w:val="fr-FR"/>
        </w:rPr>
        <w:t>Fedorov et autres c. Russie</w:t>
      </w:r>
      <w:r w:rsidRPr="00583A63">
        <w:rPr>
          <w:rFonts w:cstheme="minorHAnsi"/>
          <w:lang w:val="fr-FR"/>
        </w:rPr>
        <w:t xml:space="preserve"> (déc.), n</w:t>
      </w:r>
      <w:r w:rsidR="00270F59" w:rsidRPr="00583A63">
        <w:rPr>
          <w:rFonts w:cstheme="minorHAnsi"/>
          <w:vertAlign w:val="superscript"/>
          <w:lang w:val="fr-FR"/>
        </w:rPr>
        <w:t>o</w:t>
      </w:r>
      <w:r w:rsidRPr="00583A63">
        <w:rPr>
          <w:rFonts w:cstheme="minorHAnsi"/>
          <w:lang w:val="fr-FR"/>
        </w:rPr>
        <w:t xml:space="preserve"> 33382/04, 17 janvier 2008</w:t>
      </w:r>
      <w:r w:rsidRPr="00583A63">
        <w:rPr>
          <w:lang w:val="fr-FR"/>
        </w:rPr>
        <w:t>), la Cour considère que, à lui seul, le délai pour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exécution de la décision de la commission fiscale provinciale ne saurait passer pour excessif.</w:t>
      </w:r>
    </w:p>
    <w:p w:rsidR="00546EB7" w:rsidRPr="00583A63" w:rsidRDefault="00546EB7" w:rsidP="00583A63">
      <w:pPr>
        <w:pStyle w:val="ECHRPara"/>
        <w:rPr>
          <w:lang w:val="fr-FR"/>
        </w:rPr>
      </w:pPr>
      <w:r w:rsidRPr="00583A63">
        <w:rPr>
          <w:lang w:val="fr-FR"/>
        </w:rPr>
        <w:t>37.  Eu égard à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ensemble des circonstances de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espèce, et notamment aux éléments permettant de distinguer la présente affaire de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 xml:space="preserve">affaire </w:t>
      </w:r>
      <w:r w:rsidRPr="00583A63">
        <w:rPr>
          <w:i/>
          <w:lang w:val="fr-FR"/>
        </w:rPr>
        <w:t xml:space="preserve">Buffalo S.r.l. en liquidation </w:t>
      </w:r>
      <w:r w:rsidRPr="00583A63">
        <w:rPr>
          <w:lang w:val="fr-FR"/>
        </w:rPr>
        <w:t>et au fait que le recours tenté par la requérante lui a permis d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obtenir pleine satisfaction de manière relativement rapide, la Cour estime que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intéressée n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 pas été contrainte de supporter une charge excessive ou exorbitante. Dès lors, elle ne saurait déceler aucune apparence de violation de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article 1 du Protocole n</w:t>
      </w:r>
      <w:r w:rsidR="00270F59" w:rsidRPr="00583A63">
        <w:rPr>
          <w:vertAlign w:val="superscript"/>
          <w:lang w:val="fr-FR"/>
        </w:rPr>
        <w:t>o</w:t>
      </w:r>
      <w:r w:rsidRPr="00583A63">
        <w:rPr>
          <w:lang w:val="fr-FR"/>
        </w:rPr>
        <w:t xml:space="preserve"> 1.</w:t>
      </w:r>
    </w:p>
    <w:p w:rsidR="00546EB7" w:rsidRPr="00583A63" w:rsidRDefault="00546EB7" w:rsidP="00583A63">
      <w:pPr>
        <w:pStyle w:val="ECHRPara"/>
        <w:rPr>
          <w:snapToGrid w:val="0"/>
          <w:lang w:val="fr-FR"/>
        </w:rPr>
      </w:pPr>
      <w:r w:rsidRPr="00583A63">
        <w:rPr>
          <w:snapToGrid w:val="0"/>
          <w:lang w:val="fr-FR"/>
        </w:rPr>
        <w:t>38.  Il s</w:t>
      </w:r>
      <w:r w:rsidR="00583A63" w:rsidRPr="00583A63">
        <w:rPr>
          <w:snapToGrid w:val="0"/>
          <w:lang w:val="fr-FR"/>
        </w:rPr>
        <w:t>’</w:t>
      </w:r>
      <w:r w:rsidRPr="00583A63">
        <w:rPr>
          <w:snapToGrid w:val="0"/>
          <w:lang w:val="fr-FR"/>
        </w:rPr>
        <w:t>ensuit que la requête est manifestement mal fondée et doit être rejetée en application de l</w:t>
      </w:r>
      <w:r w:rsidR="00583A63" w:rsidRPr="00583A63">
        <w:rPr>
          <w:snapToGrid w:val="0"/>
          <w:lang w:val="fr-FR"/>
        </w:rPr>
        <w:t>’</w:t>
      </w:r>
      <w:r w:rsidRPr="00583A63">
        <w:rPr>
          <w:snapToGrid w:val="0"/>
          <w:lang w:val="fr-FR"/>
        </w:rPr>
        <w:t>article 35 §§ 3 </w:t>
      </w:r>
      <w:r w:rsidRPr="00583A63">
        <w:rPr>
          <w:lang w:val="fr-FR"/>
        </w:rPr>
        <w:t xml:space="preserve">a) </w:t>
      </w:r>
      <w:r w:rsidRPr="00583A63">
        <w:rPr>
          <w:snapToGrid w:val="0"/>
          <w:lang w:val="fr-FR"/>
        </w:rPr>
        <w:t>et 4 de la Convention.</w:t>
      </w:r>
    </w:p>
    <w:p w:rsidR="002039EF" w:rsidRPr="00583A63" w:rsidRDefault="00546EB7" w:rsidP="00583A63">
      <w:pPr>
        <w:pStyle w:val="JuParaLast"/>
        <w:rPr>
          <w:lang w:val="fr-FR"/>
        </w:rPr>
      </w:pPr>
      <w:r w:rsidRPr="00583A63">
        <w:rPr>
          <w:lang w:val="fr-FR"/>
        </w:rPr>
        <w:lastRenderedPageBreak/>
        <w:t>Par ces motifs, la Cour, à l</w:t>
      </w:r>
      <w:r w:rsidR="00583A63" w:rsidRPr="00583A63">
        <w:rPr>
          <w:lang w:val="fr-FR"/>
        </w:rPr>
        <w:t>’</w:t>
      </w:r>
      <w:r w:rsidRPr="00583A63">
        <w:rPr>
          <w:lang w:val="fr-FR"/>
        </w:rPr>
        <w:t>unanimité,</w:t>
      </w:r>
    </w:p>
    <w:p w:rsidR="00546EB7" w:rsidRPr="00583A63" w:rsidRDefault="00546EB7" w:rsidP="00583A63">
      <w:pPr>
        <w:pStyle w:val="DecList"/>
        <w:keepNext/>
        <w:keepLines/>
        <w:rPr>
          <w:lang w:val="fr-FR"/>
        </w:rPr>
      </w:pPr>
      <w:r w:rsidRPr="00583A63">
        <w:rPr>
          <w:i/>
          <w:lang w:val="fr-FR"/>
        </w:rPr>
        <w:t>Déclare</w:t>
      </w:r>
      <w:r w:rsidRPr="00583A63">
        <w:rPr>
          <w:lang w:val="fr-FR"/>
        </w:rPr>
        <w:t xml:space="preserve"> la requête irrecevable.</w:t>
      </w:r>
    </w:p>
    <w:p w:rsidR="006F19B0" w:rsidRPr="00583A63" w:rsidRDefault="00F40988" w:rsidP="00583A63">
      <w:pPr>
        <w:pStyle w:val="JuParaLast"/>
        <w:rPr>
          <w:lang w:val="fr-FR"/>
        </w:rPr>
      </w:pPr>
      <w:r w:rsidRPr="00583A63">
        <w:rPr>
          <w:szCs w:val="24"/>
          <w:lang w:val="fr-FR"/>
        </w:rPr>
        <w:t xml:space="preserve">Fait en français puis communiqué par écrit le </w:t>
      </w:r>
      <w:r w:rsidR="00546EB7" w:rsidRPr="00583A63">
        <w:rPr>
          <w:szCs w:val="24"/>
          <w:lang w:val="fr-FR"/>
        </w:rPr>
        <w:t>12 novembre 2015</w:t>
      </w:r>
      <w:r w:rsidRPr="00583A63">
        <w:rPr>
          <w:lang w:val="fr-FR"/>
        </w:rPr>
        <w:t>.</w:t>
      </w:r>
    </w:p>
    <w:p w:rsidR="00234E8A" w:rsidRPr="00583A63" w:rsidRDefault="00546EB7" w:rsidP="00583A63">
      <w:pPr>
        <w:pStyle w:val="JuSigned"/>
        <w:keepNext/>
        <w:keepLines/>
        <w:tabs>
          <w:tab w:val="clear" w:pos="851"/>
          <w:tab w:val="center" w:pos="993"/>
        </w:tabs>
        <w:rPr>
          <w:lang w:val="fr-FR"/>
        </w:rPr>
      </w:pPr>
      <w:r w:rsidRPr="00583A63">
        <w:rPr>
          <w:lang w:val="fr-FR"/>
        </w:rPr>
        <w:tab/>
        <w:t>Françoise Elens-Passos</w:t>
      </w:r>
      <w:r w:rsidR="006544C4" w:rsidRPr="00583A63">
        <w:rPr>
          <w:lang w:val="fr-FR"/>
        </w:rPr>
        <w:tab/>
      </w:r>
      <w:r w:rsidRPr="00583A63">
        <w:rPr>
          <w:lang w:val="fr-FR"/>
        </w:rPr>
        <w:t>Päivi Hirvelä</w:t>
      </w:r>
      <w:r w:rsidR="006544C4" w:rsidRPr="00583A63">
        <w:rPr>
          <w:lang w:val="fr-FR"/>
        </w:rPr>
        <w:br/>
      </w:r>
      <w:r w:rsidR="006544C4" w:rsidRPr="00583A63">
        <w:rPr>
          <w:lang w:val="fr-FR"/>
        </w:rPr>
        <w:tab/>
      </w:r>
      <w:r w:rsidRPr="00583A63">
        <w:rPr>
          <w:lang w:val="fr-FR"/>
        </w:rPr>
        <w:t>Greffière</w:t>
      </w:r>
      <w:r w:rsidR="006544C4" w:rsidRPr="00583A63">
        <w:rPr>
          <w:lang w:val="fr-FR"/>
        </w:rPr>
        <w:tab/>
      </w:r>
      <w:r w:rsidRPr="00583A63">
        <w:rPr>
          <w:lang w:val="fr-FR"/>
        </w:rPr>
        <w:t>Présidente</w:t>
      </w:r>
    </w:p>
    <w:sectPr w:rsidR="00234E8A" w:rsidRPr="00583A63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7E6" w:rsidRDefault="000007E6" w:rsidP="006544C4">
      <w:r>
        <w:separator/>
      </w:r>
    </w:p>
  </w:endnote>
  <w:endnote w:type="continuationSeparator" w:id="0">
    <w:p w:rsidR="000007E6" w:rsidRDefault="000007E6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EB7" w:rsidRPr="00150BFA" w:rsidRDefault="00546EB7" w:rsidP="0020718E">
    <w:pPr>
      <w:jc w:val="center"/>
    </w:pPr>
    <w:r>
      <w:rPr>
        <w:noProof/>
        <w:lang w:val="it-IT" w:eastAsia="it-IT"/>
      </w:rPr>
      <w:drawing>
        <wp:inline distT="0" distB="0" distL="0" distR="0" wp14:anchorId="0546D5D3" wp14:editId="0985A4BF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0007E6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7E6" w:rsidRDefault="000007E6" w:rsidP="006544C4">
      <w:r>
        <w:separator/>
      </w:r>
    </w:p>
  </w:footnote>
  <w:footnote w:type="continuationSeparator" w:id="0">
    <w:p w:rsidR="000007E6" w:rsidRDefault="000007E6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546EB7" w:rsidRDefault="00546EB7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546EB7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B25BAC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546EB7">
      <w:rPr>
        <w:lang w:val="fr-FR"/>
      </w:rPr>
      <w:tab/>
      <w:t xml:space="preserve">DÉCISION </w:t>
    </w:r>
    <w:r w:rsidRPr="00546EB7">
      <w:rPr>
        <w:lang w:val="fr-FR"/>
      </w:rPr>
      <w:t>VIRGILIO S.P.A.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546EB7" w:rsidRDefault="00334EC5" w:rsidP="006544C4">
    <w:pPr>
      <w:pStyle w:val="ECHRHeader"/>
      <w:rPr>
        <w:lang w:val="fr-FR"/>
      </w:rPr>
    </w:pPr>
    <w:r>
      <w:tab/>
    </w:r>
    <w:r w:rsidRPr="00546EB7">
      <w:rPr>
        <w:lang w:val="fr-FR"/>
      </w:rPr>
      <w:t xml:space="preserve">DÉCISION </w:t>
    </w:r>
    <w:r w:rsidR="00546EB7" w:rsidRPr="00546EB7">
      <w:rPr>
        <w:lang w:val="fr-FR"/>
      </w:rPr>
      <w:t>VIRGILIO S.P.A. c. ITALIE</w:t>
    </w:r>
    <w:r w:rsidRPr="00546EB7">
      <w:rPr>
        <w:lang w:val="fr-FR"/>
      </w:rPr>
      <w:tab/>
    </w:r>
    <w:r w:rsidR="00546EB7">
      <w:rPr>
        <w:rStyle w:val="Numeropagina"/>
        <w:lang w:val="en-GB"/>
      </w:rPr>
      <w:fldChar w:fldCharType="begin"/>
    </w:r>
    <w:r w:rsidR="00546EB7" w:rsidRPr="00546EB7">
      <w:rPr>
        <w:rStyle w:val="Numeropagina"/>
        <w:lang w:val="fr-FR"/>
      </w:rPr>
      <w:instrText xml:space="preserve"> PAGE </w:instrText>
    </w:r>
    <w:r w:rsidR="00546EB7">
      <w:rPr>
        <w:rStyle w:val="Numeropagina"/>
        <w:lang w:val="en-GB"/>
      </w:rPr>
      <w:fldChar w:fldCharType="separate"/>
    </w:r>
    <w:r w:rsidR="00B25BAC">
      <w:rPr>
        <w:rStyle w:val="Numeropagina"/>
        <w:noProof/>
        <w:lang w:val="fr-FR"/>
      </w:rPr>
      <w:t>9</w:t>
    </w:r>
    <w:r w:rsidR="00546EB7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EB7" w:rsidRPr="00A45145" w:rsidRDefault="00546EB7" w:rsidP="00A45145">
    <w:pPr>
      <w:jc w:val="center"/>
    </w:pPr>
    <w:r>
      <w:rPr>
        <w:noProof/>
        <w:lang w:val="it-IT" w:eastAsia="it-IT"/>
      </w:rPr>
      <w:drawing>
        <wp:inline distT="0" distB="0" distL="0" distR="0" wp14:anchorId="44249F75" wp14:editId="4C062053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0007E6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13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0"/>
    <w:docVar w:name="SignForeName" w:val="0"/>
  </w:docVars>
  <w:rsids>
    <w:rsidRoot w:val="00546EB7"/>
    <w:rsid w:val="000007E6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465E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39EF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0F59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D40B7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A0978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E25DF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6EB7"/>
    <w:rsid w:val="00547353"/>
    <w:rsid w:val="005474E7"/>
    <w:rsid w:val="005512A3"/>
    <w:rsid w:val="005578CE"/>
    <w:rsid w:val="00562781"/>
    <w:rsid w:val="0057271C"/>
    <w:rsid w:val="00572845"/>
    <w:rsid w:val="00583A63"/>
    <w:rsid w:val="005849DD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5F7DA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3CE1"/>
    <w:rsid w:val="00AA754A"/>
    <w:rsid w:val="00AB099E"/>
    <w:rsid w:val="00AB4328"/>
    <w:rsid w:val="00AD4F05"/>
    <w:rsid w:val="00AE0A2E"/>
    <w:rsid w:val="00AE2F7F"/>
    <w:rsid w:val="00AE354C"/>
    <w:rsid w:val="00AF4B07"/>
    <w:rsid w:val="00AF6186"/>
    <w:rsid w:val="00AF7102"/>
    <w:rsid w:val="00AF7A3A"/>
    <w:rsid w:val="00B160DB"/>
    <w:rsid w:val="00B20836"/>
    <w:rsid w:val="00B235BB"/>
    <w:rsid w:val="00B25BAC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2E19"/>
    <w:rsid w:val="00C054C7"/>
    <w:rsid w:val="00C057B5"/>
    <w:rsid w:val="00C22687"/>
    <w:rsid w:val="00C32E4D"/>
    <w:rsid w:val="00C333A0"/>
    <w:rsid w:val="00C36408"/>
    <w:rsid w:val="00C36A81"/>
    <w:rsid w:val="00C41974"/>
    <w:rsid w:val="00C4310E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270F59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270F5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270F5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270F5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270F5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270F5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270F5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270F59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270F59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270F5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270F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0F59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270F59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270F59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270F59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270F59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270F59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270F59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270F59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,Para_Quote"/>
    <w:basedOn w:val="Normale"/>
    <w:uiPriority w:val="14"/>
    <w:qFormat/>
    <w:rsid w:val="00270F59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e"/>
    <w:uiPriority w:val="5"/>
    <w:qFormat/>
    <w:rsid w:val="00270F59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semiHidden/>
    <w:qFormat/>
    <w:rsid w:val="00270F59"/>
  </w:style>
  <w:style w:type="paragraph" w:customStyle="1" w:styleId="JuParaSub">
    <w:name w:val="Ju_Para_Sub"/>
    <w:basedOn w:val="ECHRPara"/>
    <w:uiPriority w:val="13"/>
    <w:qFormat/>
    <w:rsid w:val="00270F59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270F59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270F59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270F59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semiHidden/>
    <w:qFormat/>
    <w:rsid w:val="00270F59"/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270F59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OpiQuotSub">
    <w:name w:val="Opi_Quot_Sub"/>
    <w:basedOn w:val="JuQuotSub"/>
    <w:uiPriority w:val="49"/>
    <w:semiHidden/>
    <w:qFormat/>
    <w:rsid w:val="00270F59"/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270F5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270F5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Case">
    <w:name w:val="Ju_Case"/>
    <w:basedOn w:val="Normale"/>
    <w:next w:val="ECHRPara"/>
    <w:uiPriority w:val="10"/>
    <w:semiHidden/>
    <w:rsid w:val="00270F59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270F59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270F59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270F59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270F59"/>
    <w:rPr>
      <w:caps w:val="0"/>
      <w:smallCaps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270F59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270F59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270F59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270F59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270F59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270F59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270F59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270F59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270F59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270F59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270F59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270F59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270F59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270F59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270F59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270F59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270F59"/>
    <w:rPr>
      <w:rFonts w:asciiTheme="majorHAnsi" w:eastAsiaTheme="majorEastAsia" w:hAnsiTheme="majorHAnsi" w:cstheme="majorBidi"/>
      <w:b/>
      <w:bCs/>
      <w:color w:val="808080"/>
    </w:rPr>
  </w:style>
  <w:style w:type="character" w:customStyle="1" w:styleId="JuITMark">
    <w:name w:val="Ju_ITMark"/>
    <w:basedOn w:val="Carpredefinitoparagrafo"/>
    <w:uiPriority w:val="38"/>
    <w:qFormat/>
    <w:rsid w:val="00270F59"/>
    <w:rPr>
      <w:vanish w:val="0"/>
      <w:color w:val="auto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270F59"/>
    <w:pPr>
      <w:jc w:val="center"/>
      <w:outlineLvl w:val="0"/>
    </w:pPr>
    <w:rPr>
      <w:i/>
    </w:rPr>
  </w:style>
  <w:style w:type="character" w:styleId="Enfasidelicata">
    <w:name w:val="Subtle Emphasis"/>
    <w:uiPriority w:val="99"/>
    <w:semiHidden/>
    <w:qFormat/>
    <w:rsid w:val="00270F59"/>
    <w:rPr>
      <w:i/>
      <w:iCs/>
    </w:rPr>
  </w:style>
  <w:style w:type="paragraph" w:customStyle="1" w:styleId="JuCourt">
    <w:name w:val="Ju_Court"/>
    <w:basedOn w:val="Normale"/>
    <w:next w:val="Normale"/>
    <w:uiPriority w:val="16"/>
    <w:qFormat/>
    <w:rsid w:val="00270F59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">
    <w:name w:val="Ju_List"/>
    <w:basedOn w:val="Normale"/>
    <w:uiPriority w:val="28"/>
    <w:qFormat/>
    <w:rsid w:val="00270F59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270F59"/>
    <w:pPr>
      <w:ind w:left="346" w:firstLine="0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270F59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270F5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270F59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270F59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270F5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70F5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0F59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270F59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270F5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270F5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270F5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270F59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270F59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270F5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270F59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270F59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270F59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270F59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270F59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270F59"/>
    <w:rPr>
      <w:smallCaps/>
    </w:rPr>
  </w:style>
  <w:style w:type="table" w:styleId="Grigliatabella">
    <w:name w:val="Table Grid"/>
    <w:basedOn w:val="Tabellanormale"/>
    <w:uiPriority w:val="59"/>
    <w:semiHidden/>
    <w:rsid w:val="00270F5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270F59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270F59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270F59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270F59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270F59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270F59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270F59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JuListi">
    <w:name w:val="Ju_List_i"/>
    <w:basedOn w:val="Normale"/>
    <w:next w:val="JuLista"/>
    <w:uiPriority w:val="28"/>
    <w:qFormat/>
    <w:rsid w:val="00270F59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270F59"/>
    <w:pPr>
      <w:ind w:left="635" w:hanging="357"/>
      <w:outlineLvl w:val="2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270F5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270F59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270F5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3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270F59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4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5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270F59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270F59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270F59"/>
  </w:style>
  <w:style w:type="paragraph" w:styleId="Puntoelenco2">
    <w:name w:val="List Bullet 2"/>
    <w:basedOn w:val="Normale"/>
    <w:uiPriority w:val="99"/>
    <w:semiHidden/>
    <w:rsid w:val="006544C4"/>
    <w:pPr>
      <w:numPr>
        <w:numId w:val="1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2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12"/>
      </w:numPr>
      <w:contextualSpacing/>
    </w:pPr>
  </w:style>
  <w:style w:type="paragraph" w:styleId="Numeroelenco5">
    <w:name w:val="List Number 5"/>
    <w:basedOn w:val="Normale"/>
    <w:semiHidden/>
    <w:rsid w:val="006544C4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OpiHa0">
    <w:name w:val="Opi_H_a"/>
    <w:basedOn w:val="ECHRHeading3"/>
    <w:uiPriority w:val="43"/>
    <w:semiHidden/>
    <w:qFormat/>
    <w:rsid w:val="00270F59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270F59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270F59"/>
    <w:rPr>
      <w:color w:val="00B050"/>
      <w:lang w:bidi="en-US"/>
    </w:rPr>
  </w:style>
  <w:style w:type="character" w:customStyle="1" w:styleId="ECHRParaChar">
    <w:name w:val="ECHR_Para Char"/>
    <w:aliases w:val="Ju_Para Char"/>
    <w:basedOn w:val="Carpredefinitoparagrafo"/>
    <w:link w:val="ECHRPara"/>
    <w:uiPriority w:val="12"/>
    <w:rsid w:val="00546EB7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0CC7F-15F9-40F1-A795-AF909132A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909855-0AEC-4B12-89EE-3B738BA1A5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A16C2B-7C3A-4776-94C1-892E30093A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0E4607-CEF1-46F7-B97F-0C9B4240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2979</Words>
  <Characters>16981</Characters>
  <Application>Microsoft Office Word</Application>
  <DocSecurity>0</DocSecurity>
  <Lines>141</Lines>
  <Paragraphs>39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19921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2015-12-10T14:48:00Z</dcterms:created>
  <dcterms:modified xsi:type="dcterms:W3CDTF">2015-12-10T14:48:00Z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